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39CE" w14:textId="59799040" w:rsidR="00242168" w:rsidRPr="00756146" w:rsidRDefault="00491B28">
      <w:pPr>
        <w:rPr>
          <w:b/>
          <w:bCs w:val="0"/>
          <w:lang w:val="et-EE"/>
        </w:rPr>
      </w:pPr>
      <w:r w:rsidRPr="00756146">
        <w:rPr>
          <w:b/>
          <w:bCs w:val="0"/>
          <w:lang w:val="et-EE"/>
        </w:rPr>
        <w:t xml:space="preserve">Järelevalve </w:t>
      </w:r>
      <w:r w:rsidR="004F1096">
        <w:rPr>
          <w:b/>
          <w:bCs w:val="0"/>
          <w:lang w:val="et-EE"/>
        </w:rPr>
        <w:t>ekspert</w:t>
      </w:r>
      <w:r w:rsidRPr="00756146">
        <w:rPr>
          <w:b/>
          <w:bCs w:val="0"/>
          <w:lang w:val="et-EE"/>
        </w:rPr>
        <w:t xml:space="preserve"> Kersti Metsalo</w:t>
      </w:r>
    </w:p>
    <w:p w14:paraId="2B86817A" w14:textId="63CB3258" w:rsidR="000D2306" w:rsidRPr="00756146" w:rsidRDefault="000D2306">
      <w:pPr>
        <w:rPr>
          <w:b/>
          <w:bCs w:val="0"/>
          <w:lang w:val="et-EE"/>
        </w:rPr>
      </w:pPr>
      <w:r w:rsidRPr="00756146">
        <w:rPr>
          <w:b/>
          <w:bCs w:val="0"/>
          <w:lang w:val="et-EE"/>
        </w:rPr>
        <w:t>Riigi Tugiteenuste Keskus</w:t>
      </w:r>
    </w:p>
    <w:p w14:paraId="79B68457" w14:textId="77777777" w:rsidR="000C742B" w:rsidRPr="00756146" w:rsidRDefault="000C742B" w:rsidP="000C742B">
      <w:pPr>
        <w:rPr>
          <w:shd w:val="clear" w:color="auto" w:fill="FFFFFF"/>
          <w:lang w:val="et-EE"/>
        </w:rPr>
      </w:pPr>
      <w:r w:rsidRPr="00756146">
        <w:rPr>
          <w:shd w:val="clear" w:color="auto" w:fill="FFFFFF"/>
          <w:lang w:val="et-EE"/>
        </w:rPr>
        <w:t>Lõkke 4</w:t>
      </w:r>
    </w:p>
    <w:p w14:paraId="05573888" w14:textId="01B5E405" w:rsidR="000D2306" w:rsidRDefault="000C742B" w:rsidP="000C742B">
      <w:pPr>
        <w:rPr>
          <w:shd w:val="clear" w:color="auto" w:fill="FFFFFF"/>
          <w:lang w:val="et-EE"/>
        </w:rPr>
      </w:pPr>
      <w:r w:rsidRPr="00756146">
        <w:rPr>
          <w:shd w:val="clear" w:color="auto" w:fill="FFFFFF"/>
          <w:lang w:val="et-EE"/>
        </w:rPr>
        <w:t>10122 Tallinn</w:t>
      </w:r>
    </w:p>
    <w:p w14:paraId="39F948DE" w14:textId="77777777" w:rsidR="00C51168" w:rsidRPr="00756146" w:rsidRDefault="00C51168" w:rsidP="000C742B">
      <w:pPr>
        <w:rPr>
          <w:shd w:val="clear" w:color="auto" w:fill="FFFFFF"/>
          <w:lang w:val="et-EE"/>
        </w:rPr>
      </w:pPr>
    </w:p>
    <w:p w14:paraId="7937C8C6" w14:textId="3BA351BD" w:rsidR="00DC5C95" w:rsidRPr="00756146" w:rsidRDefault="00AD1B9F" w:rsidP="000C742B">
      <w:pPr>
        <w:rPr>
          <w:shd w:val="clear" w:color="auto" w:fill="FFFFFF"/>
          <w:lang w:val="et-EE"/>
        </w:rPr>
      </w:pPr>
      <w:r w:rsidRPr="00756146">
        <w:rPr>
          <w:shd w:val="clear" w:color="auto" w:fill="FFFFFF"/>
          <w:lang w:val="et-EE"/>
        </w:rPr>
        <w:tab/>
      </w:r>
      <w:r w:rsidRPr="00756146">
        <w:rPr>
          <w:shd w:val="clear" w:color="auto" w:fill="FFFFFF"/>
          <w:lang w:val="et-EE"/>
        </w:rPr>
        <w:tab/>
      </w:r>
      <w:r w:rsidRPr="00756146">
        <w:rPr>
          <w:shd w:val="clear" w:color="auto" w:fill="FFFFFF"/>
          <w:lang w:val="et-EE"/>
        </w:rPr>
        <w:tab/>
      </w:r>
      <w:r w:rsidRPr="00756146">
        <w:rPr>
          <w:shd w:val="clear" w:color="auto" w:fill="FFFFFF"/>
          <w:lang w:val="et-EE"/>
        </w:rPr>
        <w:tab/>
      </w:r>
      <w:r w:rsidRPr="00756146">
        <w:rPr>
          <w:shd w:val="clear" w:color="auto" w:fill="FFFFFF"/>
          <w:lang w:val="et-EE"/>
        </w:rPr>
        <w:tab/>
      </w:r>
      <w:r w:rsidRPr="00756146">
        <w:rPr>
          <w:shd w:val="clear" w:color="auto" w:fill="FFFFFF"/>
          <w:lang w:val="et-EE"/>
        </w:rPr>
        <w:tab/>
      </w:r>
      <w:r w:rsidRPr="00756146">
        <w:rPr>
          <w:shd w:val="clear" w:color="auto" w:fill="FFFFFF"/>
          <w:lang w:val="et-EE"/>
        </w:rPr>
        <w:tab/>
        <w:t xml:space="preserve">Teie: 26.01.2023 </w:t>
      </w:r>
    </w:p>
    <w:p w14:paraId="6098E42E" w14:textId="77777777" w:rsidR="00DC5C95" w:rsidRPr="00756146" w:rsidRDefault="00DC5C95" w:rsidP="000C742B">
      <w:pPr>
        <w:rPr>
          <w:shd w:val="clear" w:color="auto" w:fill="FFFFFF"/>
          <w:lang w:val="et-EE"/>
        </w:rPr>
      </w:pPr>
    </w:p>
    <w:p w14:paraId="623DF1B8" w14:textId="3C9B340D" w:rsidR="00DC5C95" w:rsidRPr="00756146" w:rsidRDefault="00DC5C95" w:rsidP="00DC5C95">
      <w:pPr>
        <w:ind w:left="4320" w:firstLine="720"/>
        <w:rPr>
          <w:szCs w:val="26"/>
          <w:shd w:val="clear" w:color="auto" w:fill="FFFFFF"/>
          <w:lang w:val="et-EE"/>
        </w:rPr>
      </w:pPr>
      <w:r w:rsidRPr="00756146">
        <w:rPr>
          <w:shd w:val="clear" w:color="auto" w:fill="FFFFFF"/>
          <w:lang w:val="et-EE"/>
        </w:rPr>
        <w:t>Meie: 0</w:t>
      </w:r>
      <w:r w:rsidR="006A37CF">
        <w:rPr>
          <w:shd w:val="clear" w:color="auto" w:fill="FFFFFF"/>
          <w:lang w:val="et-EE"/>
        </w:rPr>
        <w:t>2.05.2023</w:t>
      </w:r>
      <w:r w:rsidRPr="00756146">
        <w:rPr>
          <w:shd w:val="clear" w:color="auto" w:fill="FFFFFF"/>
          <w:lang w:val="et-EE"/>
        </w:rPr>
        <w:t xml:space="preserve"> </w:t>
      </w:r>
    </w:p>
    <w:p w14:paraId="38E8C2F5" w14:textId="548C0599" w:rsidR="00DC5C95" w:rsidRPr="00756146" w:rsidRDefault="00DC5C95" w:rsidP="00DC5C95">
      <w:pPr>
        <w:ind w:left="4320" w:firstLine="720"/>
        <w:rPr>
          <w:szCs w:val="26"/>
          <w:shd w:val="clear" w:color="auto" w:fill="FFFFFF"/>
          <w:lang w:val="et-EE"/>
        </w:rPr>
      </w:pPr>
    </w:p>
    <w:p w14:paraId="1ABF9B32" w14:textId="43B1941F" w:rsidR="00DC5C95" w:rsidRPr="00756146" w:rsidRDefault="00DC5C95" w:rsidP="00DC5C95">
      <w:pPr>
        <w:rPr>
          <w:lang w:val="et-EE"/>
        </w:rPr>
      </w:pPr>
    </w:p>
    <w:p w14:paraId="19A1B390" w14:textId="0F4F9498" w:rsidR="00492619" w:rsidRPr="00756146" w:rsidRDefault="00DC5C95" w:rsidP="00492619">
      <w:pPr>
        <w:rPr>
          <w:b/>
          <w:bCs w:val="0"/>
          <w:lang w:val="et-EE"/>
        </w:rPr>
      </w:pPr>
      <w:r w:rsidRPr="00756146">
        <w:rPr>
          <w:b/>
          <w:bCs w:val="0"/>
          <w:lang w:val="et-EE"/>
        </w:rPr>
        <w:t xml:space="preserve">AS-i Tallinna Lennujaam </w:t>
      </w:r>
      <w:r w:rsidR="002F7BA3">
        <w:rPr>
          <w:b/>
          <w:bCs w:val="0"/>
          <w:lang w:val="et-EE"/>
        </w:rPr>
        <w:t xml:space="preserve">täiendav </w:t>
      </w:r>
      <w:r w:rsidR="00492619" w:rsidRPr="00756146">
        <w:rPr>
          <w:b/>
          <w:bCs w:val="0"/>
          <w:lang w:val="et-EE"/>
        </w:rPr>
        <w:t xml:space="preserve">arvamus ja vastuväited Riigi Tugiteenuste Keskuse </w:t>
      </w:r>
    </w:p>
    <w:p w14:paraId="6D0FB0A4" w14:textId="77777777" w:rsidR="00492619" w:rsidRPr="00756146" w:rsidRDefault="00492619" w:rsidP="00492619">
      <w:pPr>
        <w:rPr>
          <w:b/>
          <w:bCs w:val="0"/>
          <w:lang w:val="et-EE"/>
        </w:rPr>
      </w:pPr>
      <w:r w:rsidRPr="00756146">
        <w:rPr>
          <w:b/>
          <w:bCs w:val="0"/>
          <w:lang w:val="et-EE"/>
        </w:rPr>
        <w:t xml:space="preserve">otsuse eelnõule finantskorrektsiooni tegemise ja toetuse taotluse rahuldamise </w:t>
      </w:r>
    </w:p>
    <w:p w14:paraId="62867528" w14:textId="1AA4D8D1" w:rsidR="00492619" w:rsidRPr="00756146" w:rsidRDefault="00492619" w:rsidP="00492619">
      <w:pPr>
        <w:rPr>
          <w:b/>
          <w:bCs w:val="0"/>
          <w:lang w:val="et-EE"/>
        </w:rPr>
      </w:pPr>
      <w:r w:rsidRPr="00756146">
        <w:rPr>
          <w:b/>
          <w:bCs w:val="0"/>
          <w:lang w:val="et-EE"/>
        </w:rPr>
        <w:t>käskkirja muutmise kohta</w:t>
      </w:r>
    </w:p>
    <w:p w14:paraId="411E95FA" w14:textId="42034228" w:rsidR="00A82E04" w:rsidRPr="00756146" w:rsidRDefault="00A82E04" w:rsidP="00492619">
      <w:pPr>
        <w:rPr>
          <w:b/>
          <w:bCs w:val="0"/>
          <w:lang w:val="et-EE"/>
        </w:rPr>
      </w:pPr>
    </w:p>
    <w:p w14:paraId="120DE375" w14:textId="77777777" w:rsidR="00A82E04" w:rsidRPr="00756146" w:rsidRDefault="00A82E04" w:rsidP="00492619">
      <w:pPr>
        <w:rPr>
          <w:b/>
          <w:bCs w:val="0"/>
          <w:lang w:val="et-EE"/>
        </w:rPr>
      </w:pPr>
    </w:p>
    <w:p w14:paraId="2AD9BE90" w14:textId="574805A9" w:rsidR="00A82E04" w:rsidRPr="00756146" w:rsidRDefault="00A82E04" w:rsidP="00CD5F33">
      <w:pPr>
        <w:pStyle w:val="ListParagraph"/>
        <w:numPr>
          <w:ilvl w:val="0"/>
          <w:numId w:val="1"/>
        </w:numPr>
        <w:ind w:left="567" w:hanging="567"/>
        <w:rPr>
          <w:b/>
          <w:bCs w:val="0"/>
          <w:lang w:val="et-EE"/>
        </w:rPr>
      </w:pPr>
      <w:r w:rsidRPr="00756146">
        <w:rPr>
          <w:b/>
          <w:bCs w:val="0"/>
          <w:lang w:val="et-EE"/>
        </w:rPr>
        <w:t>Sissejuhatus</w:t>
      </w:r>
    </w:p>
    <w:p w14:paraId="0340B83A" w14:textId="77777777" w:rsidR="00A82E04" w:rsidRPr="00756146" w:rsidRDefault="00A82E04" w:rsidP="00171D7A">
      <w:pPr>
        <w:pStyle w:val="ListParagraph"/>
        <w:ind w:left="567" w:hanging="567"/>
        <w:rPr>
          <w:lang w:val="et-EE"/>
        </w:rPr>
      </w:pPr>
    </w:p>
    <w:p w14:paraId="471852F3" w14:textId="595A3282" w:rsidR="00294DFD" w:rsidRDefault="00A82E04" w:rsidP="007308FB">
      <w:pPr>
        <w:pStyle w:val="ListParagraph"/>
        <w:numPr>
          <w:ilvl w:val="1"/>
          <w:numId w:val="1"/>
        </w:numPr>
        <w:ind w:left="567" w:hanging="567"/>
        <w:jc w:val="both"/>
        <w:rPr>
          <w:lang w:val="et-EE"/>
        </w:rPr>
      </w:pPr>
      <w:r w:rsidRPr="004F24A8">
        <w:rPr>
          <w:lang w:val="et-EE"/>
        </w:rPr>
        <w:t xml:space="preserve">Viitan Teie </w:t>
      </w:r>
      <w:r w:rsidR="00496C4F" w:rsidRPr="004F24A8">
        <w:rPr>
          <w:lang w:val="et-EE"/>
        </w:rPr>
        <w:t xml:space="preserve">poolt koostatud otsuse eelnõule finantskorrektsiooni tegemise ja toetuse taotluse rahuldamise käskkirja muutmise kohta, millega Riigi Tugiteenuste Keskus kavandab võtta vastu otsuse </w:t>
      </w:r>
      <w:r w:rsidR="00294DFD" w:rsidRPr="004F24A8">
        <w:rPr>
          <w:lang w:val="et-EE"/>
        </w:rPr>
        <w:t xml:space="preserve">(edaspidi </w:t>
      </w:r>
      <w:r w:rsidR="00294DFD" w:rsidRPr="004F24A8">
        <w:rPr>
          <w:b/>
          <w:bCs w:val="0"/>
          <w:lang w:val="et-EE"/>
        </w:rPr>
        <w:t>Otsus</w:t>
      </w:r>
      <w:r w:rsidR="00294DFD" w:rsidRPr="004F24A8">
        <w:rPr>
          <w:lang w:val="et-EE"/>
        </w:rPr>
        <w:t xml:space="preserve">) </w:t>
      </w:r>
      <w:r w:rsidR="00496C4F" w:rsidRPr="004F24A8">
        <w:rPr>
          <w:lang w:val="et-EE"/>
        </w:rPr>
        <w:t xml:space="preserve">lugeda projekti „Tallinna lennujaama lennuliiklusala keskkonnaseisundi parendamine ja lennuohutuse suurendamine“ raames </w:t>
      </w:r>
      <w:r w:rsidR="008F314C" w:rsidRPr="004F24A8">
        <w:rPr>
          <w:lang w:val="et-EE"/>
        </w:rPr>
        <w:t xml:space="preserve">läbi viidud riigihankes „Tallinna lennujaama lennuliiklusala keskkonnaseisundi parendamine ja lennuohutuse suurendamine“, viitenumber 215130 (edaspidi </w:t>
      </w:r>
      <w:r w:rsidR="008F314C" w:rsidRPr="004F24A8">
        <w:rPr>
          <w:b/>
          <w:bCs w:val="0"/>
          <w:lang w:val="et-EE"/>
        </w:rPr>
        <w:t>Hange</w:t>
      </w:r>
      <w:r w:rsidR="008F314C" w:rsidRPr="004F24A8">
        <w:rPr>
          <w:lang w:val="et-EE"/>
        </w:rPr>
        <w:t xml:space="preserve">) </w:t>
      </w:r>
      <w:r w:rsidR="00496C4F" w:rsidRPr="004F24A8">
        <w:rPr>
          <w:lang w:val="et-EE"/>
        </w:rPr>
        <w:t>mitteabikõlbulikuks kuluks kokku 1 200 302,34 eurot, millest Ühtekuuluvusfondi toetus kokku moodustab 600 151,16 eurot ja omafinantseering 600 151,18 eurot.</w:t>
      </w:r>
      <w:r w:rsidR="00294DFD" w:rsidRPr="004F24A8">
        <w:rPr>
          <w:lang w:val="et-EE"/>
        </w:rPr>
        <w:t xml:space="preserve"> </w:t>
      </w:r>
      <w:r w:rsidR="004F24A8" w:rsidRPr="004F24A8">
        <w:rPr>
          <w:lang w:val="et-EE"/>
        </w:rPr>
        <w:t>AS Tallinna Lennujaam esitas oma arvamuse ja vastuväited 9.märtsil 2023.aastal. 27.märtsil 2023 esitas AS Tallinna Lennujaam Riigi Tugiteenuste Keskusele taotluse täiendavate argumentide esitamiseks hiljemalt 02.05.2023. Riigi Tugiteenuste Keskus nõustus täiendavate argumentide esitamisega ning esitamise tähtajaks määrati 02. m</w:t>
      </w:r>
      <w:r w:rsidR="009103F7">
        <w:rPr>
          <w:lang w:val="et-EE"/>
        </w:rPr>
        <w:t>ai</w:t>
      </w:r>
      <w:r w:rsidR="004F24A8" w:rsidRPr="004F24A8">
        <w:rPr>
          <w:lang w:val="et-EE"/>
        </w:rPr>
        <w:t xml:space="preserve"> 2023. </w:t>
      </w:r>
    </w:p>
    <w:p w14:paraId="201B508D" w14:textId="77777777" w:rsidR="004F24A8" w:rsidRPr="004F24A8" w:rsidRDefault="004F24A8" w:rsidP="004F24A8">
      <w:pPr>
        <w:pStyle w:val="ListParagraph"/>
        <w:ind w:left="567"/>
        <w:jc w:val="both"/>
        <w:rPr>
          <w:lang w:val="et-EE"/>
        </w:rPr>
      </w:pPr>
    </w:p>
    <w:p w14:paraId="15503ED3" w14:textId="41D0A248" w:rsidR="00294DFD" w:rsidRPr="00756146" w:rsidRDefault="00294DFD" w:rsidP="00171D7A">
      <w:pPr>
        <w:pStyle w:val="ListParagraph"/>
        <w:numPr>
          <w:ilvl w:val="1"/>
          <w:numId w:val="1"/>
        </w:numPr>
        <w:ind w:left="567" w:hanging="567"/>
        <w:jc w:val="both"/>
        <w:rPr>
          <w:lang w:val="et-EE"/>
        </w:rPr>
      </w:pPr>
      <w:r w:rsidRPr="00756146">
        <w:rPr>
          <w:lang w:val="et-EE"/>
        </w:rPr>
        <w:t xml:space="preserve">AS Tallinna Lennujaam </w:t>
      </w:r>
      <w:r w:rsidR="006A37CF">
        <w:rPr>
          <w:lang w:val="et-EE"/>
        </w:rPr>
        <w:t>on endiselt seisukohal, et</w:t>
      </w:r>
      <w:r w:rsidRPr="00756146">
        <w:rPr>
          <w:lang w:val="et-EE"/>
        </w:rPr>
        <w:t xml:space="preserve"> Otsuse vastuvõtmine oleks õigusvastane ja rikuks AS-i Tallinna Lennujaam õigusi</w:t>
      </w:r>
      <w:r w:rsidR="00322780" w:rsidRPr="00756146">
        <w:rPr>
          <w:lang w:val="et-EE"/>
        </w:rPr>
        <w:t xml:space="preserve">. AS Tallinna Lennujaam palub </w:t>
      </w:r>
      <w:r w:rsidR="00A34483">
        <w:rPr>
          <w:lang w:val="et-EE"/>
        </w:rPr>
        <w:t xml:space="preserve">käesoleva arvamuse ja vastuväidete tõttu </w:t>
      </w:r>
      <w:r w:rsidR="00E57664">
        <w:rPr>
          <w:lang w:val="et-EE"/>
        </w:rPr>
        <w:t>Riigi Tugiteenuste Keskusel</w:t>
      </w:r>
      <w:r w:rsidR="00322780" w:rsidRPr="00756146">
        <w:rPr>
          <w:lang w:val="et-EE"/>
        </w:rPr>
        <w:t xml:space="preserve"> </w:t>
      </w:r>
      <w:r w:rsidR="008A0279" w:rsidRPr="00756146">
        <w:rPr>
          <w:lang w:val="et-EE"/>
        </w:rPr>
        <w:t>loobuda Otsuse vastuvõtmisest, millega soovitakse kohaldada hankelepingule finantskorrektsiooni määra 5%.</w:t>
      </w:r>
      <w:r w:rsidR="004A7756" w:rsidRPr="00756146">
        <w:rPr>
          <w:lang w:val="et-EE"/>
        </w:rPr>
        <w:t xml:space="preserve"> </w:t>
      </w:r>
    </w:p>
    <w:p w14:paraId="42B93623" w14:textId="77777777" w:rsidR="00E42B6E" w:rsidRPr="00756146" w:rsidRDefault="00E42B6E" w:rsidP="00171D7A">
      <w:pPr>
        <w:ind w:left="567" w:hanging="567"/>
        <w:rPr>
          <w:lang w:val="et-EE"/>
        </w:rPr>
      </w:pPr>
    </w:p>
    <w:p w14:paraId="477C731C" w14:textId="02858994" w:rsidR="00833E55" w:rsidRPr="00833E55" w:rsidRDefault="00833E55" w:rsidP="00833E55">
      <w:pPr>
        <w:jc w:val="both"/>
        <w:rPr>
          <w:color w:val="000000"/>
          <w:lang w:val="et-EE"/>
        </w:rPr>
      </w:pPr>
    </w:p>
    <w:p w14:paraId="4F0A51E8" w14:textId="77777777" w:rsidR="002F7BA3" w:rsidRDefault="002F7BA3" w:rsidP="002F7BA3">
      <w:pPr>
        <w:pStyle w:val="ListParagraph"/>
        <w:numPr>
          <w:ilvl w:val="0"/>
          <w:numId w:val="1"/>
        </w:numPr>
        <w:ind w:left="567" w:hanging="567"/>
        <w:jc w:val="both"/>
        <w:rPr>
          <w:b/>
          <w:bCs w:val="0"/>
          <w:lang w:val="et-EE"/>
        </w:rPr>
      </w:pPr>
      <w:r w:rsidRPr="00756146">
        <w:rPr>
          <w:b/>
          <w:bCs w:val="0"/>
          <w:lang w:val="et-EE"/>
        </w:rPr>
        <w:t xml:space="preserve">Euroopa Liidu õigus ega RHS regulatsioon ei reguleeri, millised peavad olema hankija </w:t>
      </w:r>
      <w:r>
        <w:rPr>
          <w:b/>
          <w:bCs w:val="0"/>
          <w:lang w:val="et-EE"/>
        </w:rPr>
        <w:t xml:space="preserve">kehtestatud </w:t>
      </w:r>
      <w:r w:rsidRPr="00756146">
        <w:rPr>
          <w:b/>
          <w:bCs w:val="0"/>
          <w:lang w:val="et-EE"/>
        </w:rPr>
        <w:t>nõuded lepingu täitmise tagatisele</w:t>
      </w:r>
    </w:p>
    <w:p w14:paraId="6E085746" w14:textId="77777777" w:rsidR="002F7BA3" w:rsidRPr="00756146" w:rsidRDefault="002F7BA3" w:rsidP="002F7BA3">
      <w:pPr>
        <w:pStyle w:val="ListParagraph"/>
        <w:ind w:left="567"/>
        <w:jc w:val="both"/>
        <w:rPr>
          <w:b/>
          <w:bCs w:val="0"/>
          <w:lang w:val="et-EE"/>
        </w:rPr>
      </w:pPr>
    </w:p>
    <w:p w14:paraId="60120980" w14:textId="10C2C057" w:rsidR="002F7BA3" w:rsidRDefault="002F7BA3" w:rsidP="006C7775">
      <w:pPr>
        <w:pStyle w:val="ListParagraph"/>
        <w:numPr>
          <w:ilvl w:val="1"/>
          <w:numId w:val="1"/>
        </w:numPr>
        <w:ind w:left="567" w:hanging="567"/>
        <w:jc w:val="both"/>
        <w:rPr>
          <w:color w:val="000000"/>
          <w:lang w:val="et-EE"/>
        </w:rPr>
      </w:pPr>
      <w:r>
        <w:rPr>
          <w:color w:val="000000"/>
          <w:lang w:val="et-EE"/>
        </w:rPr>
        <w:lastRenderedPageBreak/>
        <w:t xml:space="preserve">AS Tallinna Lennujaam on jätkuvalt seisukohal, et Euroopa Liidu õigus ega RHS regulatsioon ei reguleeri, millised peavad olema hankija kehtestatud nõuded lepingu täitmise tagatisele. Seda on AS Tallinna Lennujaam põhjalikult selgitanud oma 9.03.2023 vastuskirja punktides 4 ja 5. </w:t>
      </w:r>
    </w:p>
    <w:p w14:paraId="3BFB9C99" w14:textId="325C547A" w:rsidR="006C7775" w:rsidRPr="00DF459F" w:rsidRDefault="1FD07D77" w:rsidP="4D74788A">
      <w:pPr>
        <w:pStyle w:val="ListParagraph"/>
        <w:numPr>
          <w:ilvl w:val="1"/>
          <w:numId w:val="1"/>
        </w:numPr>
        <w:ind w:left="567" w:hanging="567"/>
        <w:jc w:val="both"/>
        <w:rPr>
          <w:rFonts w:eastAsia="Times New Roman"/>
          <w:lang w:val="et-EE"/>
        </w:rPr>
      </w:pPr>
      <w:r w:rsidRPr="4D74788A">
        <w:rPr>
          <w:color w:val="000000" w:themeColor="text1"/>
          <w:lang w:val="et-EE"/>
        </w:rPr>
        <w:t xml:space="preserve">AS Tallinna Lennujaam selgitab täiendavalt, et vastavalt Hankedokumentidele, on Hanke alusdokumentides ette nähtud, et lähtuda tuleb muuhulgas ka samaväärsusest. Nimelt, Hanke tehnilise kirjelduse punkt 4.3 sätestab järgnevat: Kõiki viiteid </w:t>
      </w:r>
      <w:r w:rsidRPr="4D74788A">
        <w:rPr>
          <w:b/>
          <w:color w:val="000000" w:themeColor="text1"/>
          <w:u w:val="single"/>
          <w:lang w:val="et-EE"/>
        </w:rPr>
        <w:t>standarditele</w:t>
      </w:r>
      <w:r w:rsidRPr="4D74788A">
        <w:rPr>
          <w:color w:val="000000" w:themeColor="text1"/>
          <w:lang w:val="et-EE"/>
        </w:rPr>
        <w:t xml:space="preserve">, ostuallikatele, protsessidele, kaubamärkidele, patentidele, </w:t>
      </w:r>
      <w:r w:rsidRPr="4D74788A">
        <w:rPr>
          <w:b/>
          <w:color w:val="000000" w:themeColor="text1"/>
          <w:u w:val="single"/>
          <w:lang w:val="et-EE"/>
        </w:rPr>
        <w:t>tüüpidele</w:t>
      </w:r>
      <w:r w:rsidRPr="4D74788A">
        <w:rPr>
          <w:color w:val="000000" w:themeColor="text1"/>
          <w:lang w:val="et-EE"/>
        </w:rPr>
        <w:t xml:space="preserve">, päritolule ja tootmisviisidele hanke alusdokumentides tuleb lugeda koos laiendusega „või sellega samaväärne“. Seega on AS Tallinna Lennujaam seisukohal, et ei ole rikkunud kehtivat seadusandlust, kuivõrd ei ole </w:t>
      </w:r>
      <w:r w:rsidR="2A601411" w:rsidRPr="4D74788A">
        <w:rPr>
          <w:color w:val="000000" w:themeColor="text1"/>
          <w:lang w:val="et-EE"/>
        </w:rPr>
        <w:t xml:space="preserve">piiranud pakkujates esitada samaväärseid standardeid ega tüüpe seoses </w:t>
      </w:r>
      <w:r w:rsidR="2A601411" w:rsidRPr="4D74788A">
        <w:rPr>
          <w:lang w:val="et-EE"/>
        </w:rPr>
        <w:t xml:space="preserve">reiting B vastavalt </w:t>
      </w:r>
      <w:proofErr w:type="spellStart"/>
      <w:r w:rsidR="2A601411" w:rsidRPr="4D74788A">
        <w:rPr>
          <w:lang w:val="et-EE"/>
        </w:rPr>
        <w:t>Moody’s</w:t>
      </w:r>
      <w:proofErr w:type="spellEnd"/>
      <w:r w:rsidR="2A601411" w:rsidRPr="4D74788A">
        <w:rPr>
          <w:lang w:val="et-EE"/>
        </w:rPr>
        <w:t xml:space="preserve"> reitingule pankade finantsnäitajate kohta. </w:t>
      </w:r>
      <w:r w:rsidR="4C9F9ADD" w:rsidRPr="4D74788A">
        <w:rPr>
          <w:lang w:val="et-EE"/>
        </w:rPr>
        <w:t xml:space="preserve">AS Tallinna Lennujaam ei ole käitunud ebaproportsionaalselt ning mitte-piiraval viisil. </w:t>
      </w:r>
      <w:r w:rsidR="541CEB9A" w:rsidRPr="4D74788A">
        <w:rPr>
          <w:lang w:val="et-EE"/>
        </w:rPr>
        <w:t xml:space="preserve"> </w:t>
      </w:r>
      <w:r w:rsidR="4CFD3379" w:rsidRPr="4D74788A">
        <w:rPr>
          <w:rFonts w:eastAsia="Times New Roman"/>
          <w:lang w:val="et-EE"/>
        </w:rPr>
        <w:t>Samuti kinnitab AS Tallinna Lennujaam, et kontrollis mh ka pakkujate teisi, samaväärseid reitinguid.</w:t>
      </w:r>
    </w:p>
    <w:p w14:paraId="21FC7118" w14:textId="1C340671" w:rsidR="00DF459F" w:rsidRPr="00DF459F" w:rsidRDefault="4BBF4DF6" w:rsidP="4D74788A">
      <w:pPr>
        <w:pStyle w:val="ListParagraph"/>
        <w:numPr>
          <w:ilvl w:val="1"/>
          <w:numId w:val="1"/>
        </w:numPr>
        <w:ind w:left="567" w:hanging="567"/>
        <w:jc w:val="both"/>
        <w:rPr>
          <w:lang w:val="et-EE"/>
        </w:rPr>
      </w:pPr>
      <w:r>
        <w:rPr>
          <w:color w:val="000000"/>
          <w:lang w:val="et-EE"/>
        </w:rPr>
        <w:t xml:space="preserve">AS Tallinna Lennujaam on endiselt seisukohal, et </w:t>
      </w:r>
      <w:r w:rsidRPr="00021E99">
        <w:rPr>
          <w:color w:val="000000"/>
          <w:lang w:val="et-EE"/>
        </w:rPr>
        <w:t xml:space="preserve">AS Tallinna Lennujaam poolt Hanke käigus finantsriskide juhtimine </w:t>
      </w:r>
      <w:r>
        <w:rPr>
          <w:color w:val="000000"/>
          <w:lang w:val="et-EE"/>
        </w:rPr>
        <w:t>ei saa ega tohi olla</w:t>
      </w:r>
      <w:r w:rsidRPr="00021E99">
        <w:rPr>
          <w:color w:val="000000"/>
          <w:lang w:val="et-EE"/>
        </w:rPr>
        <w:t xml:space="preserve"> lõdvem kui seda juhitakse riigikassas.</w:t>
      </w:r>
      <w:r>
        <w:rPr>
          <w:color w:val="000000"/>
          <w:lang w:val="et-EE"/>
        </w:rPr>
        <w:t xml:space="preserve"> </w:t>
      </w:r>
      <w:r w:rsidR="72E266AA" w:rsidRPr="4D74788A">
        <w:rPr>
          <w:color w:val="000000" w:themeColor="text1"/>
          <w:lang w:val="et-EE"/>
        </w:rPr>
        <w:t>Seda enam, et antud vahe</w:t>
      </w:r>
      <w:r w:rsidR="33D99BFF" w:rsidRPr="4D74788A">
        <w:rPr>
          <w:color w:val="000000" w:themeColor="text1"/>
          <w:lang w:val="et-EE"/>
        </w:rPr>
        <w:t>n</w:t>
      </w:r>
      <w:r w:rsidR="72E266AA" w:rsidRPr="4D74788A">
        <w:rPr>
          <w:color w:val="000000" w:themeColor="text1"/>
          <w:lang w:val="et-EE"/>
        </w:rPr>
        <w:t xml:space="preserve">did on </w:t>
      </w:r>
      <w:r w:rsidR="70553B3A" w:rsidRPr="4D74788A">
        <w:rPr>
          <w:color w:val="000000" w:themeColor="text1"/>
          <w:lang w:val="et-EE"/>
        </w:rPr>
        <w:t xml:space="preserve">Euroopa Liidu poolt </w:t>
      </w:r>
      <w:r w:rsidR="72E266AA" w:rsidRPr="1DDD4726">
        <w:rPr>
          <w:color w:val="000000" w:themeColor="text1"/>
          <w:lang w:val="et-EE"/>
        </w:rPr>
        <w:t>riigile eraldatud va</w:t>
      </w:r>
      <w:r w:rsidR="72E266AA" w:rsidRPr="4D74788A">
        <w:rPr>
          <w:color w:val="000000" w:themeColor="text1"/>
          <w:lang w:val="et-EE"/>
        </w:rPr>
        <w:t>hendid, mi</w:t>
      </w:r>
      <w:r w:rsidR="32E82906" w:rsidRPr="1DDD4726">
        <w:rPr>
          <w:color w:val="000000" w:themeColor="text1"/>
          <w:lang w:val="et-EE"/>
        </w:rPr>
        <w:t xml:space="preserve">lle riik on andnud ettevõttele. </w:t>
      </w:r>
      <w:r>
        <w:rPr>
          <w:color w:val="000000"/>
          <w:lang w:val="et-EE"/>
        </w:rPr>
        <w:t>R</w:t>
      </w:r>
      <w:r w:rsidR="51AD3AA6">
        <w:rPr>
          <w:color w:val="000000"/>
          <w:lang w:val="et-EE"/>
        </w:rPr>
        <w:t>iik on ette näinud määrusega riigi rahavoo juhtimise põhimõtted.</w:t>
      </w:r>
      <w:r w:rsidR="00021E99">
        <w:rPr>
          <w:rStyle w:val="FootnoteReference"/>
          <w:color w:val="000000"/>
          <w:lang w:val="et-EE"/>
        </w:rPr>
        <w:footnoteReference w:id="2"/>
      </w:r>
      <w:r w:rsidR="51AD3AA6">
        <w:rPr>
          <w:color w:val="000000"/>
          <w:lang w:val="et-EE"/>
        </w:rPr>
        <w:t xml:space="preserve"> Vastavalt riigi</w:t>
      </w:r>
      <w:r w:rsidR="4FE05680">
        <w:rPr>
          <w:color w:val="000000"/>
          <w:lang w:val="et-EE"/>
        </w:rPr>
        <w:t>eelarve seaduse</w:t>
      </w:r>
      <w:r w:rsidR="51AD3AA6">
        <w:rPr>
          <w:color w:val="000000"/>
          <w:lang w:val="et-EE"/>
        </w:rPr>
        <w:t xml:space="preserve"> § 66 lg 5 koosmõjus r</w:t>
      </w:r>
      <w:r w:rsidR="51AD3AA6" w:rsidRPr="00906383">
        <w:rPr>
          <w:color w:val="000000"/>
          <w:lang w:val="et-EE"/>
        </w:rPr>
        <w:t>iigi rahavoo juhtimise ja stabiliseerimisreservi haldamise põhimõt</w:t>
      </w:r>
      <w:r w:rsidR="51AD3AA6">
        <w:rPr>
          <w:color w:val="000000"/>
          <w:lang w:val="et-EE"/>
        </w:rPr>
        <w:t>ete § 15 lg 2, mis sätestab, et k</w:t>
      </w:r>
      <w:r w:rsidR="51AD3AA6" w:rsidRPr="00906383">
        <w:rPr>
          <w:color w:val="000000"/>
          <w:lang w:val="et-EE"/>
        </w:rPr>
        <w:t xml:space="preserve">rediidiriski hindamiseks kasutatakse rahvusvaheliste reitinguagentuuride </w:t>
      </w:r>
      <w:proofErr w:type="spellStart"/>
      <w:r w:rsidR="51AD3AA6" w:rsidRPr="00906383">
        <w:rPr>
          <w:color w:val="000000"/>
          <w:lang w:val="et-EE"/>
        </w:rPr>
        <w:t>Moody’s</w:t>
      </w:r>
      <w:proofErr w:type="spellEnd"/>
      <w:r w:rsidR="51AD3AA6" w:rsidRPr="00906383">
        <w:rPr>
          <w:color w:val="000000"/>
          <w:lang w:val="et-EE"/>
        </w:rPr>
        <w:t xml:space="preserve">, Standard &amp; </w:t>
      </w:r>
      <w:proofErr w:type="spellStart"/>
      <w:r w:rsidR="51AD3AA6" w:rsidRPr="00906383">
        <w:rPr>
          <w:color w:val="000000"/>
          <w:lang w:val="et-EE"/>
        </w:rPr>
        <w:t>Poor’s</w:t>
      </w:r>
      <w:proofErr w:type="spellEnd"/>
      <w:r w:rsidR="51AD3AA6" w:rsidRPr="00906383">
        <w:rPr>
          <w:color w:val="000000"/>
          <w:lang w:val="et-EE"/>
        </w:rPr>
        <w:t xml:space="preserve"> või </w:t>
      </w:r>
      <w:proofErr w:type="spellStart"/>
      <w:r w:rsidR="51AD3AA6" w:rsidRPr="00906383">
        <w:rPr>
          <w:color w:val="000000"/>
          <w:lang w:val="et-EE"/>
        </w:rPr>
        <w:t>Fitch</w:t>
      </w:r>
      <w:proofErr w:type="spellEnd"/>
      <w:r w:rsidR="51AD3AA6" w:rsidRPr="00906383">
        <w:rPr>
          <w:color w:val="000000"/>
          <w:lang w:val="et-EE"/>
        </w:rPr>
        <w:t xml:space="preserve"> krediidireitingut.</w:t>
      </w:r>
      <w:r w:rsidR="51AD3AA6">
        <w:rPr>
          <w:color w:val="000000"/>
          <w:lang w:val="et-EE"/>
        </w:rPr>
        <w:t xml:space="preserve"> </w:t>
      </w:r>
      <w:r>
        <w:rPr>
          <w:color w:val="000000"/>
          <w:lang w:val="et-EE"/>
        </w:rPr>
        <w:t>Samuti on riik seisukohal, et finantsriskidena tuleb arvestada ja juhtida mh krediidiriski, mis on oht kahju tekkimiseks tehingu vastaspoole kohustuste mittekohasest täitmisest.</w:t>
      </w:r>
      <w:r w:rsidR="00021E99">
        <w:rPr>
          <w:rStyle w:val="FootnoteReference"/>
          <w:color w:val="000000"/>
          <w:lang w:val="et-EE"/>
        </w:rPr>
        <w:footnoteReference w:id="3"/>
      </w:r>
      <w:r>
        <w:rPr>
          <w:color w:val="000000"/>
          <w:lang w:val="et-EE"/>
        </w:rPr>
        <w:t xml:space="preserve"> Riik on sõnaselgelt väljendanud, et tehingu vastaspoole finantsseisundi hindamiseks kasutatakse </w:t>
      </w:r>
      <w:proofErr w:type="spellStart"/>
      <w:r>
        <w:rPr>
          <w:color w:val="000000"/>
          <w:lang w:val="et-EE"/>
        </w:rPr>
        <w:t>Moody’s</w:t>
      </w:r>
      <w:proofErr w:type="spellEnd"/>
      <w:r>
        <w:rPr>
          <w:color w:val="000000"/>
          <w:lang w:val="et-EE"/>
        </w:rPr>
        <w:t xml:space="preserve"> või Standard &amp; </w:t>
      </w:r>
      <w:proofErr w:type="spellStart"/>
      <w:r>
        <w:rPr>
          <w:color w:val="000000"/>
          <w:lang w:val="et-EE"/>
        </w:rPr>
        <w:t>Poor’s</w:t>
      </w:r>
      <w:proofErr w:type="spellEnd"/>
      <w:r>
        <w:rPr>
          <w:color w:val="000000"/>
          <w:lang w:val="et-EE"/>
        </w:rPr>
        <w:t xml:space="preserve"> poolt antud krediidireitinguid.</w:t>
      </w:r>
      <w:r w:rsidR="51AD3AA6">
        <w:rPr>
          <w:color w:val="000000"/>
          <w:lang w:val="et-EE"/>
        </w:rPr>
        <w:t xml:space="preserve"> </w:t>
      </w:r>
      <w:r>
        <w:rPr>
          <w:color w:val="000000"/>
          <w:lang w:val="et-EE"/>
        </w:rPr>
        <w:t xml:space="preserve">Seega </w:t>
      </w:r>
      <w:r>
        <w:rPr>
          <w:lang w:val="et-EE"/>
        </w:rPr>
        <w:t>AS Tallinna Lennujaam ei mõista, miks tema poolt Hanke käigus finantsriskide juhtimine oleks pidanud olema Riigi Tugiteenuste Keskuse arvates lõdvem kui seda juhitakse riigikassas.</w:t>
      </w:r>
    </w:p>
    <w:p w14:paraId="5EB6B2F6" w14:textId="78A5B7BE" w:rsidR="00DF459F" w:rsidRDefault="4C9F9ADD" w:rsidP="009C061B">
      <w:pPr>
        <w:pStyle w:val="ListParagraph"/>
        <w:numPr>
          <w:ilvl w:val="1"/>
          <w:numId w:val="1"/>
        </w:numPr>
        <w:ind w:left="567" w:hanging="567"/>
        <w:jc w:val="both"/>
        <w:rPr>
          <w:color w:val="000000"/>
          <w:lang w:val="et-EE"/>
        </w:rPr>
      </w:pPr>
      <w:r w:rsidRPr="4D74788A">
        <w:rPr>
          <w:color w:val="000000" w:themeColor="text1"/>
          <w:lang w:val="et-EE"/>
        </w:rPr>
        <w:t>AS Tallinna Lennujaam selgitab, et tulenevalt riigivaraseaduse § 88 lg 10, peab riigiosalusega ettevõte rakendama vastutustu</w:t>
      </w:r>
      <w:r w:rsidR="388D3CE5" w:rsidRPr="4D74788A">
        <w:rPr>
          <w:color w:val="000000" w:themeColor="text1"/>
          <w:lang w:val="et-EE"/>
        </w:rPr>
        <w:t>nd</w:t>
      </w:r>
      <w:r w:rsidRPr="4D74788A">
        <w:rPr>
          <w:color w:val="000000" w:themeColor="text1"/>
          <w:lang w:val="et-EE"/>
        </w:rPr>
        <w:t xml:space="preserve">likkuse ja </w:t>
      </w:r>
      <w:proofErr w:type="spellStart"/>
      <w:r w:rsidRPr="4D74788A">
        <w:rPr>
          <w:color w:val="000000" w:themeColor="text1"/>
          <w:lang w:val="et-EE"/>
        </w:rPr>
        <w:t>jätkusuutlikuse</w:t>
      </w:r>
      <w:proofErr w:type="spellEnd"/>
      <w:r w:rsidRPr="4D74788A">
        <w:rPr>
          <w:color w:val="000000" w:themeColor="text1"/>
          <w:lang w:val="et-EE"/>
        </w:rPr>
        <w:t xml:space="preserve"> põhimõtteid, mis sisaldab ka krediidiriski maandamis</w:t>
      </w:r>
      <w:r w:rsidR="32D32D15" w:rsidRPr="4D74788A">
        <w:rPr>
          <w:color w:val="000000" w:themeColor="text1"/>
          <w:lang w:val="et-EE"/>
        </w:rPr>
        <w:t>t</w:t>
      </w:r>
      <w:r w:rsidRPr="4D74788A">
        <w:rPr>
          <w:color w:val="000000" w:themeColor="text1"/>
          <w:lang w:val="et-EE"/>
        </w:rPr>
        <w:t xml:space="preserve">. Finantsriskide maandamiseks on hankijal </w:t>
      </w:r>
      <w:r w:rsidR="32D32D15" w:rsidRPr="4D74788A">
        <w:rPr>
          <w:color w:val="000000" w:themeColor="text1"/>
          <w:lang w:val="et-EE"/>
        </w:rPr>
        <w:t xml:space="preserve">tungiv soovitus </w:t>
      </w:r>
      <w:r w:rsidRPr="4D74788A">
        <w:rPr>
          <w:color w:val="000000" w:themeColor="text1"/>
          <w:lang w:val="et-EE"/>
        </w:rPr>
        <w:t xml:space="preserve">võtta vastu pangagarantii ettemaksude või garantiitööde katmiseks. </w:t>
      </w:r>
    </w:p>
    <w:p w14:paraId="332F4822" w14:textId="027B38EB" w:rsidR="003C7651" w:rsidRDefault="32D32D15" w:rsidP="009C061B">
      <w:pPr>
        <w:pStyle w:val="ListParagraph"/>
        <w:numPr>
          <w:ilvl w:val="1"/>
          <w:numId w:val="1"/>
        </w:numPr>
        <w:ind w:left="567" w:hanging="567"/>
        <w:jc w:val="both"/>
        <w:rPr>
          <w:color w:val="000000"/>
          <w:lang w:val="et-EE"/>
        </w:rPr>
      </w:pPr>
      <w:r w:rsidRPr="4D74788A">
        <w:rPr>
          <w:color w:val="000000" w:themeColor="text1"/>
          <w:lang w:val="et-EE"/>
        </w:rPr>
        <w:t>Krediidiriski maandamisel on AS Tallinna Lennujaam lähtunud riigi krediidiriski juhtimise põhimõtetest.</w:t>
      </w:r>
    </w:p>
    <w:p w14:paraId="10D68AC7" w14:textId="77777777" w:rsidR="003C7651" w:rsidRPr="003C7651" w:rsidRDefault="003C7651" w:rsidP="003C7651">
      <w:pPr>
        <w:pStyle w:val="ListParagraph"/>
        <w:ind w:left="567"/>
        <w:jc w:val="both"/>
        <w:rPr>
          <w:color w:val="000000"/>
          <w:lang w:val="et-EE"/>
        </w:rPr>
      </w:pPr>
    </w:p>
    <w:tbl>
      <w:tblPr>
        <w:tblStyle w:val="TableGrid"/>
        <w:tblW w:w="7876" w:type="dxa"/>
        <w:tblInd w:w="1145" w:type="dxa"/>
        <w:tblLook w:val="04A0" w:firstRow="1" w:lastRow="0" w:firstColumn="1" w:lastColumn="0" w:noHBand="0" w:noVBand="1"/>
      </w:tblPr>
      <w:tblGrid>
        <w:gridCol w:w="3106"/>
        <w:gridCol w:w="1736"/>
        <w:gridCol w:w="1500"/>
        <w:gridCol w:w="1534"/>
      </w:tblGrid>
      <w:tr w:rsidR="003C7651" w:rsidRPr="003C7651" w14:paraId="76195AF5" w14:textId="77777777" w:rsidTr="4D74788A">
        <w:trPr>
          <w:trHeight w:val="245"/>
        </w:trPr>
        <w:tc>
          <w:tcPr>
            <w:tcW w:w="3106" w:type="dxa"/>
            <w:noWrap/>
            <w:hideMark/>
          </w:tcPr>
          <w:p w14:paraId="47DF2726" w14:textId="41F14743"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lastRenderedPageBreak/>
              <w:t xml:space="preserve">Pank </w:t>
            </w:r>
          </w:p>
        </w:tc>
        <w:tc>
          <w:tcPr>
            <w:tcW w:w="1736" w:type="dxa"/>
            <w:noWrap/>
            <w:hideMark/>
          </w:tcPr>
          <w:p w14:paraId="56EDCAA6" w14:textId="5ED3DE07" w:rsidR="003C7651" w:rsidRPr="003C7651" w:rsidRDefault="003C7651" w:rsidP="007308FB">
            <w:pPr>
              <w:rPr>
                <w:rFonts w:ascii="Times New Roman" w:hAnsi="Times New Roman" w:cs="Times New Roman"/>
                <w:sz w:val="24"/>
                <w:szCs w:val="24"/>
              </w:rPr>
            </w:pPr>
            <w:r>
              <w:rPr>
                <w:rFonts w:ascii="Times New Roman" w:hAnsi="Times New Roman" w:cs="Times New Roman"/>
                <w:sz w:val="24"/>
                <w:szCs w:val="24"/>
              </w:rPr>
              <w:t>K</w:t>
            </w:r>
            <w:r w:rsidRPr="003C7651">
              <w:rPr>
                <w:rFonts w:ascii="Times New Roman" w:hAnsi="Times New Roman" w:cs="Times New Roman"/>
                <w:sz w:val="24"/>
                <w:szCs w:val="24"/>
              </w:rPr>
              <w:t>rediidireiting</w:t>
            </w:r>
          </w:p>
        </w:tc>
        <w:tc>
          <w:tcPr>
            <w:tcW w:w="1500" w:type="dxa"/>
            <w:noWrap/>
            <w:hideMark/>
          </w:tcPr>
          <w:p w14:paraId="7B842714" w14:textId="03D7A637" w:rsidR="003C7651" w:rsidRPr="003C7651" w:rsidRDefault="4000E479" w:rsidP="007308FB">
            <w:pPr>
              <w:rPr>
                <w:rFonts w:ascii="Times New Roman" w:hAnsi="Times New Roman" w:cs="Times New Roman"/>
                <w:sz w:val="24"/>
                <w:szCs w:val="24"/>
              </w:rPr>
            </w:pPr>
            <w:r w:rsidRPr="4D74788A">
              <w:rPr>
                <w:rFonts w:ascii="Times New Roman" w:hAnsi="Times New Roman" w:cs="Times New Roman"/>
                <w:sz w:val="24"/>
                <w:szCs w:val="24"/>
              </w:rPr>
              <w:t>Uuendatud 2019</w:t>
            </w:r>
            <w:r w:rsidR="2AE22CB2" w:rsidRPr="4D74788A">
              <w:rPr>
                <w:rFonts w:ascii="Times New Roman" w:hAnsi="Times New Roman" w:cs="Times New Roman"/>
                <w:sz w:val="24"/>
                <w:szCs w:val="24"/>
              </w:rPr>
              <w:t>.a</w:t>
            </w:r>
            <w:r w:rsidRPr="4D74788A">
              <w:rPr>
                <w:rFonts w:ascii="Times New Roman" w:hAnsi="Times New Roman" w:cs="Times New Roman"/>
                <w:sz w:val="24"/>
                <w:szCs w:val="24"/>
              </w:rPr>
              <w:t xml:space="preserve"> reiting</w:t>
            </w:r>
          </w:p>
        </w:tc>
        <w:tc>
          <w:tcPr>
            <w:tcW w:w="1534" w:type="dxa"/>
            <w:noWrap/>
            <w:hideMark/>
          </w:tcPr>
          <w:p w14:paraId="17DC363C" w14:textId="73EF34C2" w:rsidR="003C7651" w:rsidRPr="003C7651" w:rsidRDefault="4EE3DE25" w:rsidP="4D74788A">
            <w:pPr>
              <w:spacing w:line="259" w:lineRule="auto"/>
              <w:rPr>
                <w:rFonts w:ascii="Times New Roman" w:hAnsi="Times New Roman" w:cs="Times New Roman"/>
                <w:sz w:val="24"/>
                <w:szCs w:val="24"/>
              </w:rPr>
            </w:pPr>
            <w:r w:rsidRPr="4D74788A">
              <w:rPr>
                <w:rFonts w:ascii="Times New Roman" w:hAnsi="Times New Roman" w:cs="Times New Roman"/>
                <w:sz w:val="24"/>
                <w:szCs w:val="24"/>
              </w:rPr>
              <w:t>uuendatud 2020.a reiting</w:t>
            </w:r>
          </w:p>
        </w:tc>
      </w:tr>
      <w:tr w:rsidR="003C7651" w:rsidRPr="003C7651" w14:paraId="1584E65D" w14:textId="77777777" w:rsidTr="4D74788A">
        <w:trPr>
          <w:trHeight w:val="245"/>
        </w:trPr>
        <w:tc>
          <w:tcPr>
            <w:tcW w:w="3106" w:type="dxa"/>
            <w:noWrap/>
            <w:hideMark/>
          </w:tcPr>
          <w:p w14:paraId="45C36DED"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As Coop Pank</w:t>
            </w:r>
          </w:p>
        </w:tc>
        <w:tc>
          <w:tcPr>
            <w:tcW w:w="1736" w:type="dxa"/>
            <w:noWrap/>
            <w:hideMark/>
          </w:tcPr>
          <w:p w14:paraId="755CFFED"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 xml:space="preserve">Baa2 </w:t>
            </w:r>
          </w:p>
        </w:tc>
        <w:tc>
          <w:tcPr>
            <w:tcW w:w="1500" w:type="dxa"/>
            <w:noWrap/>
            <w:hideMark/>
          </w:tcPr>
          <w:p w14:paraId="0BD31758" w14:textId="77777777" w:rsidR="003C7651" w:rsidRPr="003C7651" w:rsidRDefault="003C7651" w:rsidP="007308FB">
            <w:pPr>
              <w:rPr>
                <w:rFonts w:ascii="Times New Roman" w:hAnsi="Times New Roman" w:cs="Times New Roman"/>
                <w:sz w:val="24"/>
                <w:szCs w:val="24"/>
              </w:rPr>
            </w:pPr>
          </w:p>
        </w:tc>
        <w:tc>
          <w:tcPr>
            <w:tcW w:w="1534" w:type="dxa"/>
            <w:noWrap/>
            <w:hideMark/>
          </w:tcPr>
          <w:p w14:paraId="3C334257"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25.08.2020</w:t>
            </w:r>
          </w:p>
        </w:tc>
      </w:tr>
      <w:tr w:rsidR="003C7651" w:rsidRPr="003C7651" w14:paraId="7901C98F" w14:textId="77777777" w:rsidTr="4D74788A">
        <w:trPr>
          <w:trHeight w:val="245"/>
        </w:trPr>
        <w:tc>
          <w:tcPr>
            <w:tcW w:w="3106" w:type="dxa"/>
            <w:noWrap/>
            <w:hideMark/>
          </w:tcPr>
          <w:p w14:paraId="268640B3" w14:textId="301244F5"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AS L</w:t>
            </w:r>
            <w:r>
              <w:rPr>
                <w:rFonts w:ascii="Times New Roman" w:hAnsi="Times New Roman" w:cs="Times New Roman"/>
                <w:sz w:val="24"/>
                <w:szCs w:val="24"/>
              </w:rPr>
              <w:t>HV</w:t>
            </w:r>
          </w:p>
        </w:tc>
        <w:tc>
          <w:tcPr>
            <w:tcW w:w="1736" w:type="dxa"/>
            <w:noWrap/>
            <w:hideMark/>
          </w:tcPr>
          <w:p w14:paraId="076CCE60"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Baa1</w:t>
            </w:r>
          </w:p>
        </w:tc>
        <w:tc>
          <w:tcPr>
            <w:tcW w:w="1500" w:type="dxa"/>
            <w:noWrap/>
            <w:hideMark/>
          </w:tcPr>
          <w:p w14:paraId="7435E6F4"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08.11.2019</w:t>
            </w:r>
          </w:p>
        </w:tc>
        <w:tc>
          <w:tcPr>
            <w:tcW w:w="1534" w:type="dxa"/>
            <w:noWrap/>
            <w:hideMark/>
          </w:tcPr>
          <w:p w14:paraId="52EA13AE"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23.09.2020</w:t>
            </w:r>
          </w:p>
        </w:tc>
      </w:tr>
      <w:tr w:rsidR="003C7651" w:rsidRPr="003C7651" w14:paraId="1848DA8C" w14:textId="77777777" w:rsidTr="4D74788A">
        <w:trPr>
          <w:trHeight w:val="245"/>
        </w:trPr>
        <w:tc>
          <w:tcPr>
            <w:tcW w:w="3106" w:type="dxa"/>
            <w:noWrap/>
            <w:hideMark/>
          </w:tcPr>
          <w:p w14:paraId="549E5A80"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 xml:space="preserve"> </w:t>
            </w:r>
            <w:proofErr w:type="spellStart"/>
            <w:r w:rsidRPr="003C7651">
              <w:rPr>
                <w:rFonts w:ascii="Times New Roman" w:hAnsi="Times New Roman" w:cs="Times New Roman"/>
                <w:sz w:val="24"/>
                <w:szCs w:val="24"/>
              </w:rPr>
              <w:t>Luminor</w:t>
            </w:r>
            <w:proofErr w:type="spellEnd"/>
            <w:r w:rsidRPr="003C7651">
              <w:rPr>
                <w:rFonts w:ascii="Times New Roman" w:hAnsi="Times New Roman" w:cs="Times New Roman"/>
                <w:sz w:val="24"/>
                <w:szCs w:val="24"/>
              </w:rPr>
              <w:t xml:space="preserve"> Bank AS</w:t>
            </w:r>
          </w:p>
        </w:tc>
        <w:tc>
          <w:tcPr>
            <w:tcW w:w="1736" w:type="dxa"/>
            <w:noWrap/>
            <w:hideMark/>
          </w:tcPr>
          <w:p w14:paraId="5A02BB89"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Baa1</w:t>
            </w:r>
          </w:p>
        </w:tc>
        <w:tc>
          <w:tcPr>
            <w:tcW w:w="1500" w:type="dxa"/>
            <w:noWrap/>
            <w:hideMark/>
          </w:tcPr>
          <w:p w14:paraId="35E16B36"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08.11.2019</w:t>
            </w:r>
          </w:p>
        </w:tc>
        <w:tc>
          <w:tcPr>
            <w:tcW w:w="1534" w:type="dxa"/>
            <w:noWrap/>
            <w:hideMark/>
          </w:tcPr>
          <w:p w14:paraId="23DAB46F"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23.09.2020</w:t>
            </w:r>
          </w:p>
        </w:tc>
      </w:tr>
      <w:tr w:rsidR="003C7651" w:rsidRPr="003C7651" w14:paraId="2E0B99C7" w14:textId="77777777" w:rsidTr="4D74788A">
        <w:trPr>
          <w:trHeight w:val="245"/>
        </w:trPr>
        <w:tc>
          <w:tcPr>
            <w:tcW w:w="3106" w:type="dxa"/>
            <w:noWrap/>
            <w:hideMark/>
          </w:tcPr>
          <w:p w14:paraId="3DF4E6A1"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Swedbank AB (koos tütarettevõtetega sh. Swedbank Eesti AS)</w:t>
            </w:r>
          </w:p>
        </w:tc>
        <w:tc>
          <w:tcPr>
            <w:tcW w:w="1736" w:type="dxa"/>
            <w:noWrap/>
            <w:hideMark/>
          </w:tcPr>
          <w:p w14:paraId="77408A0C"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Aa2</w:t>
            </w:r>
          </w:p>
        </w:tc>
        <w:tc>
          <w:tcPr>
            <w:tcW w:w="1500" w:type="dxa"/>
            <w:noWrap/>
            <w:hideMark/>
          </w:tcPr>
          <w:p w14:paraId="01FCED38"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08.11.2019</w:t>
            </w:r>
          </w:p>
        </w:tc>
        <w:tc>
          <w:tcPr>
            <w:tcW w:w="1534" w:type="dxa"/>
            <w:noWrap/>
            <w:hideMark/>
          </w:tcPr>
          <w:p w14:paraId="5F251E63"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23.09.2020</w:t>
            </w:r>
          </w:p>
        </w:tc>
      </w:tr>
      <w:tr w:rsidR="003C7651" w:rsidRPr="003C7651" w14:paraId="102B0D0B" w14:textId="77777777" w:rsidTr="4D74788A">
        <w:trPr>
          <w:trHeight w:val="245"/>
        </w:trPr>
        <w:tc>
          <w:tcPr>
            <w:tcW w:w="3106" w:type="dxa"/>
            <w:noWrap/>
            <w:hideMark/>
          </w:tcPr>
          <w:p w14:paraId="0E1741A9"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SEB AB (koos tütardega)</w:t>
            </w:r>
          </w:p>
        </w:tc>
        <w:tc>
          <w:tcPr>
            <w:tcW w:w="1736" w:type="dxa"/>
            <w:noWrap/>
            <w:hideMark/>
          </w:tcPr>
          <w:p w14:paraId="2D3EA61F"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Aa2</w:t>
            </w:r>
          </w:p>
        </w:tc>
        <w:tc>
          <w:tcPr>
            <w:tcW w:w="1500" w:type="dxa"/>
            <w:noWrap/>
            <w:hideMark/>
          </w:tcPr>
          <w:p w14:paraId="5777AFCD"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08.11.2019</w:t>
            </w:r>
          </w:p>
        </w:tc>
        <w:tc>
          <w:tcPr>
            <w:tcW w:w="1534" w:type="dxa"/>
            <w:noWrap/>
            <w:hideMark/>
          </w:tcPr>
          <w:p w14:paraId="25A042AF"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23.09.2020</w:t>
            </w:r>
          </w:p>
        </w:tc>
      </w:tr>
      <w:tr w:rsidR="003C7651" w:rsidRPr="003C7651" w14:paraId="111DE99C" w14:textId="77777777" w:rsidTr="4D74788A">
        <w:trPr>
          <w:trHeight w:val="245"/>
        </w:trPr>
        <w:tc>
          <w:tcPr>
            <w:tcW w:w="3106" w:type="dxa"/>
            <w:noWrap/>
            <w:hideMark/>
          </w:tcPr>
          <w:p w14:paraId="5EA00DD3" w14:textId="3B7BE7DE"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 xml:space="preserve">OP </w:t>
            </w:r>
            <w:proofErr w:type="spellStart"/>
            <w:r>
              <w:rPr>
                <w:rFonts w:ascii="Times New Roman" w:hAnsi="Times New Roman" w:cs="Times New Roman"/>
                <w:sz w:val="24"/>
                <w:szCs w:val="24"/>
              </w:rPr>
              <w:t>P</w:t>
            </w:r>
            <w:r w:rsidRPr="003C7651">
              <w:rPr>
                <w:rFonts w:ascii="Times New Roman" w:hAnsi="Times New Roman" w:cs="Times New Roman"/>
                <w:sz w:val="24"/>
                <w:szCs w:val="24"/>
              </w:rPr>
              <w:t>ohjala</w:t>
            </w:r>
            <w:proofErr w:type="spellEnd"/>
          </w:p>
        </w:tc>
        <w:tc>
          <w:tcPr>
            <w:tcW w:w="1736" w:type="dxa"/>
            <w:noWrap/>
            <w:hideMark/>
          </w:tcPr>
          <w:p w14:paraId="3D3F45A6"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Aa3</w:t>
            </w:r>
          </w:p>
        </w:tc>
        <w:tc>
          <w:tcPr>
            <w:tcW w:w="1500" w:type="dxa"/>
            <w:noWrap/>
            <w:hideMark/>
          </w:tcPr>
          <w:p w14:paraId="3F5FBDA8"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08.11.2019</w:t>
            </w:r>
          </w:p>
        </w:tc>
        <w:tc>
          <w:tcPr>
            <w:tcW w:w="1534" w:type="dxa"/>
            <w:noWrap/>
            <w:hideMark/>
          </w:tcPr>
          <w:p w14:paraId="56FBB364"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23.09.2020</w:t>
            </w:r>
          </w:p>
        </w:tc>
      </w:tr>
      <w:tr w:rsidR="003C7651" w:rsidRPr="003C7651" w14:paraId="54F6AC5B" w14:textId="77777777" w:rsidTr="4D74788A">
        <w:trPr>
          <w:trHeight w:val="245"/>
        </w:trPr>
        <w:tc>
          <w:tcPr>
            <w:tcW w:w="3106" w:type="dxa"/>
            <w:noWrap/>
            <w:hideMark/>
          </w:tcPr>
          <w:p w14:paraId="4397B6D3"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Bigbank</w:t>
            </w:r>
          </w:p>
        </w:tc>
        <w:tc>
          <w:tcPr>
            <w:tcW w:w="1736" w:type="dxa"/>
            <w:noWrap/>
            <w:hideMark/>
          </w:tcPr>
          <w:p w14:paraId="2E4D9C7D"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Baa3</w:t>
            </w:r>
          </w:p>
        </w:tc>
        <w:tc>
          <w:tcPr>
            <w:tcW w:w="1500" w:type="dxa"/>
            <w:noWrap/>
            <w:hideMark/>
          </w:tcPr>
          <w:p w14:paraId="72792719" w14:textId="77777777" w:rsidR="003C7651" w:rsidRPr="003C7651" w:rsidRDefault="003C7651" w:rsidP="007308FB">
            <w:pPr>
              <w:rPr>
                <w:rFonts w:ascii="Times New Roman" w:hAnsi="Times New Roman" w:cs="Times New Roman"/>
                <w:sz w:val="24"/>
                <w:szCs w:val="24"/>
              </w:rPr>
            </w:pPr>
          </w:p>
        </w:tc>
        <w:tc>
          <w:tcPr>
            <w:tcW w:w="1534" w:type="dxa"/>
            <w:noWrap/>
            <w:hideMark/>
          </w:tcPr>
          <w:p w14:paraId="2CDDD30F" w14:textId="77777777" w:rsidR="003C7651" w:rsidRPr="003C7651" w:rsidRDefault="003C7651" w:rsidP="007308FB">
            <w:pPr>
              <w:rPr>
                <w:rFonts w:ascii="Times New Roman" w:hAnsi="Times New Roman" w:cs="Times New Roman"/>
                <w:sz w:val="24"/>
                <w:szCs w:val="24"/>
              </w:rPr>
            </w:pPr>
            <w:r w:rsidRPr="003C7651">
              <w:rPr>
                <w:rFonts w:ascii="Times New Roman" w:hAnsi="Times New Roman" w:cs="Times New Roman"/>
                <w:sz w:val="24"/>
                <w:szCs w:val="24"/>
              </w:rPr>
              <w:t>01.07.2022</w:t>
            </w:r>
          </w:p>
        </w:tc>
      </w:tr>
    </w:tbl>
    <w:p w14:paraId="2287814A" w14:textId="77777777" w:rsidR="003C7651" w:rsidRPr="003C7651" w:rsidRDefault="003C7651" w:rsidP="003C7651">
      <w:pPr>
        <w:pStyle w:val="ListParagraph"/>
        <w:ind w:left="567"/>
        <w:jc w:val="both"/>
        <w:rPr>
          <w:color w:val="000000"/>
          <w:lang w:val="et-EE"/>
        </w:rPr>
      </w:pPr>
    </w:p>
    <w:p w14:paraId="515539D0" w14:textId="43CCCF24" w:rsidR="003C7651" w:rsidRDefault="32D32D15" w:rsidP="009C061B">
      <w:pPr>
        <w:pStyle w:val="ListParagraph"/>
        <w:numPr>
          <w:ilvl w:val="1"/>
          <w:numId w:val="1"/>
        </w:numPr>
        <w:ind w:left="567" w:hanging="567"/>
        <w:jc w:val="both"/>
        <w:rPr>
          <w:color w:val="000000"/>
          <w:lang w:val="et-EE"/>
        </w:rPr>
      </w:pPr>
      <w:r w:rsidRPr="4D74788A">
        <w:rPr>
          <w:color w:val="000000" w:themeColor="text1"/>
          <w:lang w:val="et-EE"/>
        </w:rPr>
        <w:t xml:space="preserve">AS Tallinna Lennujaam selgitab, et oma vabu rahalisi vahendeid hoitakse põhiliselt Swedbanki, SEB, OP Corporate Bank ja </w:t>
      </w:r>
      <w:proofErr w:type="spellStart"/>
      <w:r w:rsidRPr="4D74788A">
        <w:rPr>
          <w:color w:val="000000" w:themeColor="text1"/>
          <w:lang w:val="et-EE"/>
        </w:rPr>
        <w:t>Luminori</w:t>
      </w:r>
      <w:proofErr w:type="spellEnd"/>
      <w:r w:rsidRPr="4D74788A">
        <w:rPr>
          <w:color w:val="000000" w:themeColor="text1"/>
          <w:lang w:val="et-EE"/>
        </w:rPr>
        <w:t xml:space="preserve"> gruppi kuuluvate pankade arvelduskontodel või tähtajalistes hoiustes. Pangakontodel hoitavate vahendite riske hinnatakse vastava panga või pangagrupi emaettevõtte pikaajalise deposiidi- või krediidireitingu alusel. Kontserni AS Tallinna Lennujaam finantsüksus jälgib krediidireitingute muutusi ning algatab rahaliste vahendite krediidiriski vähendamise (hoiuste lõpetamise), kui panga või pangagrupi pikaajaline krediidireiting langeb alla „A2“ </w:t>
      </w:r>
      <w:proofErr w:type="spellStart"/>
      <w:r w:rsidRPr="4D74788A">
        <w:rPr>
          <w:color w:val="000000" w:themeColor="text1"/>
          <w:lang w:val="et-EE"/>
        </w:rPr>
        <w:t>Moody’s</w:t>
      </w:r>
      <w:proofErr w:type="spellEnd"/>
      <w:r w:rsidRPr="4D74788A">
        <w:rPr>
          <w:color w:val="000000" w:themeColor="text1"/>
          <w:lang w:val="et-EE"/>
        </w:rPr>
        <w:t xml:space="preserve"> skaalal või „A“ S&amp;P ja </w:t>
      </w:r>
      <w:proofErr w:type="spellStart"/>
      <w:r w:rsidRPr="4D74788A">
        <w:rPr>
          <w:color w:val="000000" w:themeColor="text1"/>
          <w:lang w:val="et-EE"/>
        </w:rPr>
        <w:t>Fitch</w:t>
      </w:r>
      <w:proofErr w:type="spellEnd"/>
      <w:r w:rsidRPr="4D74788A">
        <w:rPr>
          <w:color w:val="000000" w:themeColor="text1"/>
          <w:lang w:val="et-EE"/>
        </w:rPr>
        <w:t xml:space="preserve"> skaalal. </w:t>
      </w:r>
      <w:r w:rsidR="184E0565" w:rsidRPr="4D74788A">
        <w:rPr>
          <w:color w:val="000000" w:themeColor="text1"/>
          <w:lang w:val="et-EE"/>
        </w:rPr>
        <w:t>Seetõttu leiab AS Tallinna Lennujaam juhatus, et  IFRS 9 kohase oodatava krediidikahjumi mudeli järgi ei ole kontsernil raha ning selle ekvivalentide osas olulisi krediidiriske.</w:t>
      </w:r>
    </w:p>
    <w:p w14:paraId="7F23905D" w14:textId="58F07A5C" w:rsidR="006A37CF" w:rsidRDefault="3FBFD469" w:rsidP="009638D7">
      <w:pPr>
        <w:pStyle w:val="ListParagraph"/>
        <w:numPr>
          <w:ilvl w:val="1"/>
          <w:numId w:val="1"/>
        </w:numPr>
        <w:ind w:left="567" w:hanging="567"/>
        <w:jc w:val="both"/>
        <w:rPr>
          <w:lang w:val="et-EE"/>
        </w:rPr>
      </w:pPr>
      <w:r w:rsidRPr="4D74788A">
        <w:rPr>
          <w:lang w:val="et-EE"/>
        </w:rPr>
        <w:t xml:space="preserve">AS Tallinna Lennujaam on juba selgitanud, et ta nõudis hankemenetluse täitmise tagatisena krediidiasutuse garantiid, kuna tegemist oli äärmiselt suure maksumusega riigihankega ning kapitali- ja likviidsusnõuded finantseerimisasutustele ja kindlustusandjatele on krediidiasutustest oluliselt madalamad. Kui võrrelda kindlustusandjaid ja muid finantseerimisasutusi krediidiandjatega, siis krediidiandjatele kohalduvad finantsturul kõige rangemad nõuded, </w:t>
      </w:r>
      <w:r w:rsidR="49B4906C" w:rsidRPr="4D74788A">
        <w:rPr>
          <w:lang w:val="et-EE"/>
        </w:rPr>
        <w:t xml:space="preserve">sh kõige kõrgemad aktsiakapitalinõuded ning nõuded usaldusväärsuse tagamiseks ja klientide huvide kaitseks (vt KAS 7. peatükk). Lisaks teostatakse krediidiasutuste üle ka rangemat finantsjärelevalvet (näiteks kuuluvad osad krediidiasutused otse Euroopa Keskpanga järelevalve alla). Põhjus, miks ei saa sama usaldusväärseks lugeda kindlustusandjaid ja muid finantseerimisasutusi, seisneb selles, et sõltuvalt asutusest ja tema tegevusest kohalduvad neile erinevad nõuded (sh osa- ja aktsiakapitalinõuded, usaldatavusnõuded, piirangud töötajatele ja juhtorganitele jms) ja erineb ka järelevalve fookus ja rangus. Näiteks kuigi kindlustusandjate suhtes teostatakse järelevalvet ning neil on üsnagi kõrged osa- ja aktsiakapitalinõuded, siis võrreldes krediidiasutusega ei ole neile kehtestatud seadusega reeglistikku asutuse usaldusväärsuse ja klientide huvide kaitseks, mistõttu võib eeldada, et olukorras, kus on vaja </w:t>
      </w:r>
      <w:r w:rsidR="273DB25D" w:rsidRPr="4D74788A">
        <w:rPr>
          <w:lang w:val="et-EE"/>
        </w:rPr>
        <w:t>täitmistagatist</w:t>
      </w:r>
      <w:r w:rsidR="49B4906C" w:rsidRPr="4D74788A">
        <w:rPr>
          <w:lang w:val="et-EE"/>
        </w:rPr>
        <w:t xml:space="preserve"> kiiresti realiseerida, on </w:t>
      </w:r>
      <w:r w:rsidR="49B4906C" w:rsidRPr="4D74788A">
        <w:rPr>
          <w:lang w:val="et-EE"/>
        </w:rPr>
        <w:lastRenderedPageBreak/>
        <w:t>krediidiasutus motiveeritum usaldusväärsuse säilitamiseks ja kliendihuvide kaitsmiseks garantiisummat koheselt välja maksma, samas kui kindlustusandjad on orienteeritud pigem juhtumi põhjalikumale menetlemisele ja oma finantshuvide kaitsele.</w:t>
      </w:r>
    </w:p>
    <w:p w14:paraId="7F92EB43" w14:textId="4A8C5AA4" w:rsidR="006A37CF" w:rsidRPr="00CE0D8C" w:rsidRDefault="3FBFD469" w:rsidP="4D74788A">
      <w:pPr>
        <w:pStyle w:val="ListParagraph"/>
        <w:numPr>
          <w:ilvl w:val="1"/>
          <w:numId w:val="1"/>
        </w:numPr>
        <w:spacing w:line="259" w:lineRule="auto"/>
        <w:ind w:left="567" w:hanging="567"/>
        <w:jc w:val="both"/>
        <w:rPr>
          <w:lang w:val="et-EE"/>
        </w:rPr>
      </w:pPr>
      <w:r w:rsidRPr="4D74788A">
        <w:rPr>
          <w:lang w:val="et-EE"/>
        </w:rPr>
        <w:t>Võttes arvesse, et Hanke näol oli tegemist Tallinna lennujaama lennuliiklusala keskkonnaseisundi parendami</w:t>
      </w:r>
      <w:r w:rsidR="1C4AF9EB" w:rsidRPr="4D74788A">
        <w:rPr>
          <w:lang w:val="et-EE"/>
        </w:rPr>
        <w:t>se</w:t>
      </w:r>
      <w:r w:rsidRPr="4D74788A">
        <w:rPr>
          <w:lang w:val="et-EE"/>
        </w:rPr>
        <w:t xml:space="preserve"> ja lennuohutuse suurendamisega, ei olnud AS-il Tallinna Lennujaam võimalik aktsepteerida madalamat </w:t>
      </w:r>
      <w:r w:rsidR="1C4AF9EB" w:rsidRPr="4D74788A">
        <w:rPr>
          <w:lang w:val="et-EE"/>
        </w:rPr>
        <w:t>nõuet, et vältida võimalust, et töövõtja ei oleks (mh ka rahaliselt) võimeline viima lõpuni nii suuremahulist ning olulist tööd.</w:t>
      </w:r>
      <w:r w:rsidR="267DBD24" w:rsidRPr="4D74788A">
        <w:rPr>
          <w:lang w:val="et-EE"/>
        </w:rPr>
        <w:t xml:space="preserve"> AS Tallinna Lennujaam on seisukohal, et krediidiasutuse garantiile eelneb krediidiasutuse taustauuring, mille tulemusena saab </w:t>
      </w:r>
      <w:r w:rsidR="7B70AF0C" w:rsidRPr="4D74788A">
        <w:rPr>
          <w:lang w:val="et-EE"/>
        </w:rPr>
        <w:t>hankija kindluse, et töövõtja on jätkusuutlik ning maksejõuline.</w:t>
      </w:r>
      <w:r w:rsidR="1C4AF9EB" w:rsidRPr="4D74788A">
        <w:rPr>
          <w:lang w:val="et-EE"/>
        </w:rPr>
        <w:t xml:space="preserve"> </w:t>
      </w:r>
      <w:r w:rsidR="198E0A5F" w:rsidRPr="4D74788A">
        <w:rPr>
          <w:lang w:val="et-EE"/>
        </w:rPr>
        <w:t xml:space="preserve">Sarnast loogikat rakendab ka Euroopa Liit CEF taotlejate vaates. </w:t>
      </w:r>
      <w:r w:rsidR="1C4AF9EB" w:rsidRPr="4D74788A">
        <w:rPr>
          <w:lang w:val="et-EE"/>
        </w:rPr>
        <w:t xml:space="preserve">Juhul, kui töövõtja ei oleks olnud maksejõuline, oleks AS-il Tallinna Lennujaam väga kõrge risk selleks, et Tallinna lennujaama lennuliiklusala ei oleks võimeline teenindama sisse tulnud ning väljuvaid lende. </w:t>
      </w:r>
      <w:r w:rsidR="46CC9E38" w:rsidRPr="4D74788A">
        <w:rPr>
          <w:lang w:val="et-EE"/>
        </w:rPr>
        <w:t xml:space="preserve">Samuti ei oleks </w:t>
      </w:r>
      <w:r w:rsidR="3606310D" w:rsidRPr="4D74788A">
        <w:rPr>
          <w:lang w:val="et-EE"/>
        </w:rPr>
        <w:t xml:space="preserve">antud projekti raames </w:t>
      </w:r>
      <w:r w:rsidR="46CC9E38" w:rsidRPr="4D74788A">
        <w:rPr>
          <w:lang w:val="et-EE"/>
        </w:rPr>
        <w:t>AS Tallinna Lennujaam mahtunud etteantud ajakavasse</w:t>
      </w:r>
      <w:r w:rsidR="4EE8EFA9" w:rsidRPr="4D74788A">
        <w:rPr>
          <w:lang w:val="et-EE"/>
        </w:rPr>
        <w:t xml:space="preserve"> nin</w:t>
      </w:r>
      <w:r w:rsidR="22AEB0D5" w:rsidRPr="4D74788A">
        <w:rPr>
          <w:lang w:val="et-EE"/>
        </w:rPr>
        <w:t xml:space="preserve">g </w:t>
      </w:r>
      <w:r w:rsidR="23FD29AD" w:rsidRPr="4D74788A">
        <w:rPr>
          <w:lang w:val="et-EE"/>
        </w:rPr>
        <w:t>seega oleks</w:t>
      </w:r>
      <w:r w:rsidR="22AEB0D5" w:rsidRPr="4D74788A">
        <w:rPr>
          <w:lang w:val="et-EE"/>
        </w:rPr>
        <w:t xml:space="preserve"> kõrgem risk</w:t>
      </w:r>
      <w:r w:rsidR="65202D64" w:rsidRPr="4D74788A">
        <w:rPr>
          <w:lang w:val="et-EE"/>
        </w:rPr>
        <w:t xml:space="preserve"> AS-ile</w:t>
      </w:r>
      <w:r w:rsidR="22AEB0D5" w:rsidRPr="4D74788A">
        <w:rPr>
          <w:lang w:val="et-EE"/>
        </w:rPr>
        <w:t xml:space="preserve"> </w:t>
      </w:r>
      <w:r w:rsidR="7996FB56" w:rsidRPr="4D74788A">
        <w:rPr>
          <w:lang w:val="et-EE"/>
        </w:rPr>
        <w:t xml:space="preserve">Tallinna Lennujaam </w:t>
      </w:r>
      <w:r w:rsidR="22AEB0D5" w:rsidRPr="4D74788A">
        <w:rPr>
          <w:lang w:val="et-EE"/>
        </w:rPr>
        <w:t>toetuse raha tagasiküsimiseks riigi poolt</w:t>
      </w:r>
      <w:r w:rsidR="16AFB260" w:rsidRPr="4D74788A">
        <w:rPr>
          <w:lang w:val="et-EE"/>
        </w:rPr>
        <w:t>, kuna krediidiasutuse menetlusaeg on palju pikem</w:t>
      </w:r>
      <w:r w:rsidR="5C60FE49" w:rsidRPr="4D74788A">
        <w:rPr>
          <w:lang w:val="et-EE"/>
        </w:rPr>
        <w:t>, kui peaks tekkima olukord täitmistagatise realiseerimiseks</w:t>
      </w:r>
      <w:r w:rsidR="16AFB260" w:rsidRPr="4D74788A">
        <w:rPr>
          <w:lang w:val="et-EE"/>
        </w:rPr>
        <w:t>.</w:t>
      </w:r>
    </w:p>
    <w:p w14:paraId="2B280889" w14:textId="0B146BB1" w:rsidR="006A37CF" w:rsidRPr="000155D2" w:rsidRDefault="2825F86D" w:rsidP="4D74788A">
      <w:pPr>
        <w:pStyle w:val="ListParagraph"/>
        <w:numPr>
          <w:ilvl w:val="1"/>
          <w:numId w:val="1"/>
        </w:numPr>
        <w:spacing w:line="259" w:lineRule="auto"/>
        <w:ind w:left="567" w:hanging="567"/>
        <w:jc w:val="both"/>
        <w:rPr>
          <w:lang w:val="et-EE"/>
        </w:rPr>
      </w:pPr>
      <w:r w:rsidRPr="4D74788A">
        <w:rPr>
          <w:lang w:val="et-EE"/>
        </w:rPr>
        <w:t xml:space="preserve">AS Tallinna Lennujaam on seisukohal, et Otsuse eelnõu on tehtud keskendudes vaid argumendile, et AS Tallinna Lennujaam oleks justkui eksinud, kuid arvesse on jäetud </w:t>
      </w:r>
      <w:r w:rsidR="354EA341" w:rsidRPr="4D74788A">
        <w:rPr>
          <w:lang w:val="et-EE"/>
        </w:rPr>
        <w:t xml:space="preserve">võtmata asjaolu AS Tallinna Lennujaama lähenemise kogumõju. </w:t>
      </w:r>
      <w:r w:rsidR="479C59B1" w:rsidRPr="4D74788A">
        <w:rPr>
          <w:lang w:val="et-EE"/>
        </w:rPr>
        <w:t xml:space="preserve">AS Tallinna Lennujaam on jätkuvalt seisukohal, et ei ole rikkunud kehtivat seadusandlust </w:t>
      </w:r>
    </w:p>
    <w:p w14:paraId="6B6CCDF5" w14:textId="77777777" w:rsidR="0071627E" w:rsidRDefault="0071627E" w:rsidP="00266F01">
      <w:pPr>
        <w:jc w:val="both"/>
        <w:rPr>
          <w:lang w:val="et-EE"/>
        </w:rPr>
      </w:pPr>
    </w:p>
    <w:p w14:paraId="5888BBF9" w14:textId="192A792B" w:rsidR="0071627E" w:rsidRPr="00B64D0A" w:rsidRDefault="0071627E" w:rsidP="0071627E">
      <w:pPr>
        <w:pStyle w:val="ListParagraph"/>
        <w:numPr>
          <w:ilvl w:val="0"/>
          <w:numId w:val="1"/>
        </w:numPr>
        <w:ind w:left="567" w:hanging="567"/>
        <w:jc w:val="both"/>
        <w:rPr>
          <w:b/>
          <w:bCs w:val="0"/>
          <w:lang w:val="et-EE"/>
        </w:rPr>
      </w:pPr>
      <w:r>
        <w:rPr>
          <w:b/>
          <w:bCs w:val="0"/>
          <w:lang w:val="et-EE"/>
        </w:rPr>
        <w:t>Kokkuvõte</w:t>
      </w:r>
    </w:p>
    <w:p w14:paraId="1D6576BC" w14:textId="7AD1448A" w:rsidR="0071627E" w:rsidRDefault="0071627E" w:rsidP="00266F01">
      <w:pPr>
        <w:jc w:val="both"/>
        <w:rPr>
          <w:lang w:val="et-EE"/>
        </w:rPr>
      </w:pPr>
    </w:p>
    <w:p w14:paraId="0AEAEFE5" w14:textId="3A59CD78" w:rsidR="00C77D1E" w:rsidRDefault="677C4A79" w:rsidP="00C77D1E">
      <w:pPr>
        <w:pStyle w:val="ListParagraph"/>
        <w:numPr>
          <w:ilvl w:val="1"/>
          <w:numId w:val="1"/>
        </w:numPr>
        <w:ind w:left="567" w:hanging="567"/>
        <w:jc w:val="both"/>
        <w:rPr>
          <w:lang w:val="et-EE"/>
        </w:rPr>
      </w:pPr>
      <w:r w:rsidRPr="4D74788A">
        <w:rPr>
          <w:lang w:val="et-EE"/>
        </w:rPr>
        <w:t xml:space="preserve">Otsuse eelnõu on õigusvastane, kuna </w:t>
      </w:r>
      <w:r w:rsidR="6E4AA0CB" w:rsidRPr="4D74788A">
        <w:rPr>
          <w:lang w:val="et-EE"/>
        </w:rPr>
        <w:t xml:space="preserve">rakendusüksuse käitumine </w:t>
      </w:r>
      <w:r w:rsidR="63E6A1C9" w:rsidRPr="4D74788A">
        <w:rPr>
          <w:lang w:val="et-EE"/>
        </w:rPr>
        <w:t>oleks Otsust vastu</w:t>
      </w:r>
      <w:r w:rsidR="6A48C6BF" w:rsidRPr="4D74788A">
        <w:rPr>
          <w:lang w:val="et-EE"/>
        </w:rPr>
        <w:t xml:space="preserve"> </w:t>
      </w:r>
      <w:r w:rsidR="63E6A1C9" w:rsidRPr="4D74788A">
        <w:rPr>
          <w:lang w:val="et-EE"/>
        </w:rPr>
        <w:t xml:space="preserve">võttes </w:t>
      </w:r>
      <w:r w:rsidRPr="4D74788A">
        <w:rPr>
          <w:lang w:val="et-EE"/>
        </w:rPr>
        <w:t xml:space="preserve">sõnamurdlik. Otsuse eelnõus </w:t>
      </w:r>
      <w:r w:rsidR="6C69E8E7" w:rsidRPr="4D74788A">
        <w:rPr>
          <w:lang w:val="et-EE"/>
        </w:rPr>
        <w:t xml:space="preserve">esitatud alusetutel </w:t>
      </w:r>
      <w:r w:rsidRPr="4D74788A">
        <w:rPr>
          <w:lang w:val="et-EE"/>
        </w:rPr>
        <w:t>etteheidetul puudub mõju liidu eelarvele, väidetav rikkumine ei mõjutanud kulu abikõlbulikkust ega olnud seotud hankelepingu esemega.</w:t>
      </w:r>
    </w:p>
    <w:p w14:paraId="0009775B" w14:textId="77777777" w:rsidR="00C77D1E" w:rsidRDefault="00C77D1E" w:rsidP="00C77D1E">
      <w:pPr>
        <w:pStyle w:val="ListParagraph"/>
        <w:ind w:left="567"/>
        <w:jc w:val="both"/>
        <w:rPr>
          <w:lang w:val="et-EE"/>
        </w:rPr>
      </w:pPr>
    </w:p>
    <w:p w14:paraId="6322393F" w14:textId="4FE4348C" w:rsidR="002C0E59" w:rsidRPr="00253F42" w:rsidRDefault="677C4A79" w:rsidP="00253F42">
      <w:pPr>
        <w:pStyle w:val="ListParagraph"/>
        <w:numPr>
          <w:ilvl w:val="1"/>
          <w:numId w:val="1"/>
        </w:numPr>
        <w:ind w:left="567" w:hanging="567"/>
        <w:jc w:val="both"/>
        <w:rPr>
          <w:lang w:val="et-EE"/>
        </w:rPr>
      </w:pPr>
      <w:r w:rsidRPr="4D74788A">
        <w:rPr>
          <w:lang w:val="et-EE"/>
        </w:rPr>
        <w:t>Euroopa Liidu õigus ega RHS ei sea nõuded hankelepingu täitmise tagatisele.</w:t>
      </w:r>
      <w:r w:rsidR="3BEB6222" w:rsidRPr="4D74788A">
        <w:rPr>
          <w:lang w:val="et-EE"/>
        </w:rPr>
        <w:t xml:space="preserve"> </w:t>
      </w:r>
      <w:r w:rsidR="349B43DC" w:rsidRPr="4D74788A">
        <w:rPr>
          <w:lang w:val="et-EE"/>
        </w:rPr>
        <w:t xml:space="preserve">Riigi Tugiteenuste Keskus on tõlgendanud hankedokumente ebaõigesti. </w:t>
      </w:r>
      <w:r w:rsidR="3BEB6222" w:rsidRPr="4D74788A">
        <w:rPr>
          <w:lang w:val="et-EE"/>
        </w:rPr>
        <w:t>Hankedokumendid kedagi ei diskrimineerinud</w:t>
      </w:r>
      <w:r w:rsidR="4D2908CC" w:rsidRPr="4D74788A">
        <w:rPr>
          <w:lang w:val="et-EE"/>
        </w:rPr>
        <w:t xml:space="preserve"> ning AS Tallinna Lennujaam rakendas </w:t>
      </w:r>
      <w:r w:rsidR="73B56428" w:rsidRPr="4D74788A">
        <w:rPr>
          <w:lang w:val="et-EE"/>
        </w:rPr>
        <w:t xml:space="preserve">Hankes </w:t>
      </w:r>
      <w:r w:rsidR="4D2908CC" w:rsidRPr="4D74788A">
        <w:rPr>
          <w:lang w:val="et-EE"/>
        </w:rPr>
        <w:t>nõudeid seoses hankelepingu täitmise tagatisega kõigile pakkujatele võrdsetel alustel</w:t>
      </w:r>
      <w:r w:rsidR="3BEB6222" w:rsidRPr="4D74788A">
        <w:rPr>
          <w:lang w:val="et-EE"/>
        </w:rPr>
        <w:t xml:space="preserve">. </w:t>
      </w:r>
      <w:r w:rsidR="358F3BB4" w:rsidRPr="4D74788A">
        <w:rPr>
          <w:lang w:val="et-EE"/>
        </w:rPr>
        <w:t xml:space="preserve">Tallinna Ringkonnakohus on leidnud analoogilises vaidluses haldusasjas nr 3-20-895, kus mistahes küsimusi seoses hankedokumentidega ei esitatud, et </w:t>
      </w:r>
      <w:r w:rsidR="6A0306D3" w:rsidRPr="4D74788A">
        <w:rPr>
          <w:lang w:val="et-EE"/>
        </w:rPr>
        <w:t xml:space="preserve">hankedokumentidel mõju liidu eelarvele ei ole ja </w:t>
      </w:r>
      <w:r w:rsidR="358F3BB4" w:rsidRPr="4D74788A">
        <w:rPr>
          <w:lang w:val="et-EE"/>
        </w:rPr>
        <w:t>tagasinõude esitamiseks mistahes alust ei ole.</w:t>
      </w:r>
      <w:r w:rsidR="288813D0" w:rsidRPr="4D74788A">
        <w:rPr>
          <w:lang w:val="et-EE"/>
        </w:rPr>
        <w:t xml:space="preserve"> Samale seisukohale peab kohtuvaidluse ärahoidmiseks jõudma ka Riigi Tugiteenuste Keskus.</w:t>
      </w:r>
    </w:p>
    <w:p w14:paraId="32FB1E13" w14:textId="77777777" w:rsidR="002C0E59" w:rsidRPr="002C0E59" w:rsidRDefault="002C0E59" w:rsidP="002C0E59">
      <w:pPr>
        <w:pStyle w:val="ListParagraph"/>
        <w:rPr>
          <w:lang w:val="et-EE"/>
        </w:rPr>
      </w:pPr>
    </w:p>
    <w:p w14:paraId="7ADF4D69" w14:textId="72C1B66C" w:rsidR="00BD6164" w:rsidRPr="00253F42" w:rsidRDefault="002C0E59" w:rsidP="00BD6164">
      <w:pPr>
        <w:pStyle w:val="ListParagraph"/>
        <w:numPr>
          <w:ilvl w:val="1"/>
          <w:numId w:val="1"/>
        </w:numPr>
        <w:ind w:left="567" w:hanging="567"/>
        <w:jc w:val="both"/>
        <w:rPr>
          <w:lang w:val="et-EE"/>
        </w:rPr>
      </w:pPr>
      <w:r w:rsidRPr="00253F42">
        <w:rPr>
          <w:lang w:val="et-EE"/>
        </w:rPr>
        <w:t>AS-i Tallinna Lennujaam poolt kehtestatud hankedokumendid ei sätestanud ebaproportsionaalseid tingimusi</w:t>
      </w:r>
      <w:r w:rsidR="00253F42">
        <w:rPr>
          <w:lang w:val="et-EE"/>
        </w:rPr>
        <w:t xml:space="preserve"> ega rikkunud RHS üldpõhimõtteid. Isegi kui asud</w:t>
      </w:r>
      <w:r w:rsidR="00E863AA">
        <w:rPr>
          <w:lang w:val="et-EE"/>
        </w:rPr>
        <w:t>a</w:t>
      </w:r>
      <w:r w:rsidR="00253F42">
        <w:rPr>
          <w:lang w:val="et-EE"/>
        </w:rPr>
        <w:t xml:space="preserve"> </w:t>
      </w:r>
      <w:r w:rsidR="00253F42">
        <w:rPr>
          <w:lang w:val="et-EE"/>
        </w:rPr>
        <w:lastRenderedPageBreak/>
        <w:t>hüpoteetilisele seisukohale, et Hankes mistahes rikkumine võis esineda, takistab AS-i Tallinna Lennujaam õiguspärane ootus Otsuse vastuvõtmist.</w:t>
      </w:r>
    </w:p>
    <w:p w14:paraId="3DF0A4EF" w14:textId="77777777" w:rsidR="00460CC2" w:rsidRPr="00460CC2" w:rsidRDefault="00460CC2" w:rsidP="00460CC2">
      <w:pPr>
        <w:pStyle w:val="ListParagraph"/>
        <w:rPr>
          <w:lang w:val="et-EE"/>
        </w:rPr>
      </w:pPr>
    </w:p>
    <w:p w14:paraId="28E832D9" w14:textId="77777777" w:rsidR="000B12A6" w:rsidRPr="00756146" w:rsidRDefault="000B12A6" w:rsidP="00FC3058">
      <w:pPr>
        <w:jc w:val="both"/>
        <w:rPr>
          <w:lang w:val="et-EE"/>
        </w:rPr>
      </w:pPr>
    </w:p>
    <w:p w14:paraId="0E25A772" w14:textId="31D82BCB" w:rsidR="0034060C" w:rsidRDefault="0034060C" w:rsidP="0034060C">
      <w:pPr>
        <w:jc w:val="both"/>
        <w:rPr>
          <w:lang w:val="et-EE"/>
        </w:rPr>
      </w:pPr>
    </w:p>
    <w:p w14:paraId="4D14E602" w14:textId="77777777" w:rsidR="00BE0EC1" w:rsidRDefault="00BE0EC1" w:rsidP="0034060C">
      <w:pPr>
        <w:jc w:val="both"/>
        <w:rPr>
          <w:lang w:val="et-EE"/>
        </w:rPr>
      </w:pPr>
    </w:p>
    <w:p w14:paraId="2B74E7D4" w14:textId="351F03E9" w:rsidR="0034060C" w:rsidRDefault="0034060C" w:rsidP="0034060C">
      <w:pPr>
        <w:jc w:val="both"/>
        <w:rPr>
          <w:lang w:val="et-EE"/>
        </w:rPr>
      </w:pPr>
      <w:r>
        <w:rPr>
          <w:lang w:val="et-EE"/>
        </w:rPr>
        <w:t>Lugupidamisega,</w:t>
      </w:r>
    </w:p>
    <w:p w14:paraId="01E5E2AE" w14:textId="6B35E94D" w:rsidR="0034060C" w:rsidRDefault="0034060C" w:rsidP="0034060C">
      <w:pPr>
        <w:jc w:val="both"/>
        <w:rPr>
          <w:lang w:val="et-EE"/>
        </w:rPr>
      </w:pPr>
    </w:p>
    <w:p w14:paraId="0E4422BE" w14:textId="425709AC" w:rsidR="0034060C" w:rsidRDefault="009E2A4F" w:rsidP="0034060C">
      <w:pPr>
        <w:jc w:val="both"/>
        <w:rPr>
          <w:lang w:val="et-EE"/>
        </w:rPr>
      </w:pPr>
      <w:r>
        <w:rPr>
          <w:lang w:val="et-EE"/>
        </w:rPr>
        <w:t>/allkirjastatud digitaalselt/</w:t>
      </w:r>
    </w:p>
    <w:p w14:paraId="201AE7B9" w14:textId="43386EB0" w:rsidR="009E2A4F" w:rsidRDefault="009E2A4F" w:rsidP="0034060C">
      <w:pPr>
        <w:jc w:val="both"/>
        <w:rPr>
          <w:lang w:val="et-EE"/>
        </w:rPr>
      </w:pPr>
    </w:p>
    <w:p w14:paraId="66FB1E8A" w14:textId="2D4AD703" w:rsidR="009E2A4F" w:rsidRDefault="009E2A4F" w:rsidP="0034060C">
      <w:pPr>
        <w:jc w:val="both"/>
        <w:rPr>
          <w:lang w:val="et-EE"/>
        </w:rPr>
      </w:pPr>
      <w:r>
        <w:rPr>
          <w:lang w:val="et-EE"/>
        </w:rPr>
        <w:t>Riivo Tuvike</w:t>
      </w:r>
    </w:p>
    <w:p w14:paraId="2B2746AA" w14:textId="00D3A0EA" w:rsidR="009E2A4F" w:rsidRPr="0034060C" w:rsidRDefault="009E2A4F" w:rsidP="0034060C">
      <w:pPr>
        <w:jc w:val="both"/>
        <w:rPr>
          <w:lang w:val="et-EE"/>
        </w:rPr>
      </w:pPr>
      <w:r>
        <w:rPr>
          <w:lang w:val="et-EE"/>
        </w:rPr>
        <w:t>AS-i Tallinna Lennujaam juhatuse esimees</w:t>
      </w:r>
    </w:p>
    <w:sectPr w:rsidR="009E2A4F" w:rsidRPr="0034060C" w:rsidSect="004940B1">
      <w:headerReference w:type="default" r:id="rId8"/>
      <w:footerReference w:type="default" r:id="rId9"/>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03F5" w14:textId="77777777" w:rsidR="00324869" w:rsidRDefault="00324869" w:rsidP="009741DD">
      <w:r>
        <w:separator/>
      </w:r>
    </w:p>
  </w:endnote>
  <w:endnote w:type="continuationSeparator" w:id="0">
    <w:p w14:paraId="11E99BEB" w14:textId="77777777" w:rsidR="00324869" w:rsidRDefault="00324869" w:rsidP="009741DD">
      <w:r>
        <w:continuationSeparator/>
      </w:r>
    </w:p>
  </w:endnote>
  <w:endnote w:type="continuationNotice" w:id="1">
    <w:p w14:paraId="0F3F8B03" w14:textId="77777777" w:rsidR="00DE3457" w:rsidRDefault="00DE3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266639"/>
      <w:docPartObj>
        <w:docPartGallery w:val="Page Numbers (Bottom of Page)"/>
        <w:docPartUnique/>
      </w:docPartObj>
    </w:sdtPr>
    <w:sdtEndPr/>
    <w:sdtContent>
      <w:p w14:paraId="6C5AFF2C" w14:textId="77777777" w:rsidR="00092F1D" w:rsidRDefault="00092F1D">
        <w:pPr>
          <w:pStyle w:val="Footer"/>
          <w:jc w:val="right"/>
        </w:pPr>
      </w:p>
      <w:p w14:paraId="31AA71E7" w14:textId="1078261E" w:rsidR="00BE0EC1" w:rsidRDefault="00092F1D">
        <w:pPr>
          <w:pStyle w:val="Footer"/>
          <w:jc w:val="right"/>
        </w:pPr>
        <w:r>
          <w:rPr>
            <w:noProof/>
            <w:lang w:val="et-EE"/>
          </w:rPr>
          <w:drawing>
            <wp:inline distT="0" distB="0" distL="0" distR="0" wp14:anchorId="1C1305C9" wp14:editId="2AA134A4">
              <wp:extent cx="5731510" cy="1021457"/>
              <wp:effectExtent l="0" t="0" r="2540" b="762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
                      <a:srcRect t="67" b="67"/>
                      <a:stretch>
                        <a:fillRect/>
                      </a:stretch>
                    </pic:blipFill>
                    <pic:spPr>
                      <a:xfrm>
                        <a:off x="0" y="0"/>
                        <a:ext cx="5731510" cy="1021457"/>
                      </a:xfrm>
                      <a:prstGeom prst="rect">
                        <a:avLst/>
                      </a:prstGeom>
                      <a:ln w="12700" cap="flat">
                        <a:noFill/>
                        <a:miter lim="400000"/>
                      </a:ln>
                      <a:effectLst/>
                    </pic:spPr>
                  </pic:pic>
                </a:graphicData>
              </a:graphic>
            </wp:inline>
          </w:drawing>
        </w:r>
        <w:r w:rsidR="00BE0EC1">
          <w:fldChar w:fldCharType="begin"/>
        </w:r>
        <w:r w:rsidR="00BE0EC1">
          <w:instrText>PAGE   \* MERGEFORMAT</w:instrText>
        </w:r>
        <w:r w:rsidR="00BE0EC1">
          <w:fldChar w:fldCharType="separate"/>
        </w:r>
        <w:r w:rsidR="00BE0EC1">
          <w:rPr>
            <w:lang w:val="et-EE"/>
          </w:rPr>
          <w:t>2</w:t>
        </w:r>
        <w:r w:rsidR="00BE0EC1">
          <w:fldChar w:fldCharType="end"/>
        </w:r>
      </w:p>
    </w:sdtContent>
  </w:sdt>
  <w:p w14:paraId="519CFC0A" w14:textId="77777777" w:rsidR="00BE0EC1" w:rsidRDefault="00BE0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BADD" w14:textId="77777777" w:rsidR="00324869" w:rsidRDefault="00324869" w:rsidP="009741DD">
      <w:r>
        <w:separator/>
      </w:r>
    </w:p>
  </w:footnote>
  <w:footnote w:type="continuationSeparator" w:id="0">
    <w:p w14:paraId="3CC56D48" w14:textId="77777777" w:rsidR="00324869" w:rsidRDefault="00324869" w:rsidP="009741DD">
      <w:r>
        <w:continuationSeparator/>
      </w:r>
    </w:p>
  </w:footnote>
  <w:footnote w:type="continuationNotice" w:id="1">
    <w:p w14:paraId="5FCD0F6B" w14:textId="77777777" w:rsidR="00DE3457" w:rsidRDefault="00DE3457"/>
  </w:footnote>
  <w:footnote w:id="2">
    <w:p w14:paraId="6EBB56AD" w14:textId="3F0B8DD0" w:rsidR="00021E99" w:rsidRPr="00021E99" w:rsidRDefault="00021E99">
      <w:pPr>
        <w:pStyle w:val="FootnoteText"/>
        <w:rPr>
          <w:lang w:val="en-GB"/>
        </w:rPr>
      </w:pPr>
      <w:r>
        <w:rPr>
          <w:rStyle w:val="FootnoteReference"/>
        </w:rPr>
        <w:footnoteRef/>
      </w:r>
      <w:r>
        <w:t xml:space="preserve"> </w:t>
      </w:r>
      <w:proofErr w:type="spellStart"/>
      <w:r>
        <w:rPr>
          <w:lang w:val="en-GB"/>
        </w:rPr>
        <w:t>R</w:t>
      </w:r>
      <w:r w:rsidR="003C7651">
        <w:rPr>
          <w:lang w:val="en-GB"/>
        </w:rPr>
        <w:t>iigieelarve</w:t>
      </w:r>
      <w:proofErr w:type="spellEnd"/>
      <w:r w:rsidR="003C7651">
        <w:rPr>
          <w:lang w:val="en-GB"/>
        </w:rPr>
        <w:t xml:space="preserve"> </w:t>
      </w:r>
      <w:proofErr w:type="spellStart"/>
      <w:r w:rsidR="003C7651">
        <w:rPr>
          <w:lang w:val="en-GB"/>
        </w:rPr>
        <w:t>seadus</w:t>
      </w:r>
      <w:proofErr w:type="spellEnd"/>
      <w:r>
        <w:rPr>
          <w:lang w:val="en-GB"/>
        </w:rPr>
        <w:t xml:space="preserve"> § 66 </w:t>
      </w:r>
      <w:proofErr w:type="spellStart"/>
      <w:r>
        <w:rPr>
          <w:lang w:val="en-GB"/>
        </w:rPr>
        <w:t>lg</w:t>
      </w:r>
      <w:proofErr w:type="spellEnd"/>
      <w:r>
        <w:rPr>
          <w:lang w:val="en-GB"/>
        </w:rPr>
        <w:t xml:space="preserve"> 5</w:t>
      </w:r>
    </w:p>
  </w:footnote>
  <w:footnote w:id="3">
    <w:p w14:paraId="36E68A6D" w14:textId="353662D3" w:rsidR="00021E99" w:rsidRPr="00021E99" w:rsidRDefault="00021E99">
      <w:pPr>
        <w:pStyle w:val="FootnoteText"/>
        <w:rPr>
          <w:lang w:val="en-GB"/>
        </w:rPr>
      </w:pPr>
      <w:r>
        <w:rPr>
          <w:rStyle w:val="FootnoteReference"/>
        </w:rPr>
        <w:footnoteRef/>
      </w:r>
      <w:r>
        <w:t xml:space="preserve"> </w:t>
      </w:r>
      <w:proofErr w:type="spellStart"/>
      <w:r>
        <w:rPr>
          <w:lang w:val="en-GB"/>
        </w:rPr>
        <w:t>R</w:t>
      </w:r>
      <w:r w:rsidR="003C7651">
        <w:rPr>
          <w:lang w:val="en-GB"/>
        </w:rPr>
        <w:t>iigieelarve</w:t>
      </w:r>
      <w:proofErr w:type="spellEnd"/>
      <w:r w:rsidR="003C7651">
        <w:rPr>
          <w:lang w:val="en-GB"/>
        </w:rPr>
        <w:t xml:space="preserve"> </w:t>
      </w:r>
      <w:proofErr w:type="spellStart"/>
      <w:r w:rsidR="003C7651">
        <w:rPr>
          <w:lang w:val="en-GB"/>
        </w:rPr>
        <w:t>seadus</w:t>
      </w:r>
      <w:proofErr w:type="spellEnd"/>
      <w:r>
        <w:rPr>
          <w:lang w:val="en-GB"/>
        </w:rPr>
        <w:t xml:space="preserve"> § 66 </w:t>
      </w:r>
      <w:proofErr w:type="spellStart"/>
      <w:r>
        <w:rPr>
          <w:lang w:val="en-GB"/>
        </w:rPr>
        <w:t>seletuskiri</w:t>
      </w:r>
      <w:proofErr w:type="spellEnd"/>
      <w:r>
        <w:rPr>
          <w:lang w:val="en-GB"/>
        </w:rPr>
        <w:t xml:space="preserve"> - </w:t>
      </w:r>
      <w:r w:rsidRPr="00021E99">
        <w:rPr>
          <w:lang w:val="en-GB"/>
        </w:rPr>
        <w:t xml:space="preserve">SEN </w:t>
      </w:r>
      <w:proofErr w:type="spellStart"/>
      <w:r w:rsidRPr="00021E99">
        <w:rPr>
          <w:lang w:val="en-GB"/>
        </w:rPr>
        <w:t>Seletuskiri</w:t>
      </w:r>
      <w:proofErr w:type="spellEnd"/>
      <w:r w:rsidRPr="00021E99">
        <w:rPr>
          <w:lang w:val="en-GB"/>
        </w:rPr>
        <w:t xml:space="preserve"> RT I, 13.03.2014, 2 - </w:t>
      </w:r>
      <w:proofErr w:type="spellStart"/>
      <w:r w:rsidRPr="00021E99">
        <w:rPr>
          <w:lang w:val="en-GB"/>
        </w:rPr>
        <w:t>jõust</w:t>
      </w:r>
      <w:proofErr w:type="spellEnd"/>
      <w:r w:rsidRPr="00021E99">
        <w:rPr>
          <w:lang w:val="en-GB"/>
        </w:rPr>
        <w:t xml:space="preserve"> 23.03.2014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DA5D" w14:textId="6865F09A" w:rsidR="00092F1D" w:rsidRDefault="00092F1D">
    <w:pPr>
      <w:pStyle w:val="Header"/>
    </w:pPr>
    <w:r>
      <w:rPr>
        <w:noProof/>
        <w:lang w:val="et-EE"/>
      </w:rPr>
      <w:drawing>
        <wp:inline distT="0" distB="0" distL="0" distR="0" wp14:anchorId="29CC419A" wp14:editId="3FB633A8">
          <wp:extent cx="5731510" cy="701044"/>
          <wp:effectExtent l="0" t="0" r="2540" b="3810"/>
          <wp:docPr id="1073741825" name="officeArt object" descr="Päised_2_tallinn_est"/>
          <wp:cNvGraphicFramePr/>
          <a:graphic xmlns:a="http://schemas.openxmlformats.org/drawingml/2006/main">
            <a:graphicData uri="http://schemas.openxmlformats.org/drawingml/2006/picture">
              <pic:pic xmlns:pic="http://schemas.openxmlformats.org/drawingml/2006/picture">
                <pic:nvPicPr>
                  <pic:cNvPr id="1073741825" name="Päised_2_tallinn_est" descr="Päised_2_tallinn_est"/>
                  <pic:cNvPicPr>
                    <a:picLocks noChangeAspect="1"/>
                  </pic:cNvPicPr>
                </pic:nvPicPr>
                <pic:blipFill>
                  <a:blip r:embed="rId1"/>
                  <a:stretch>
                    <a:fillRect/>
                  </a:stretch>
                </pic:blipFill>
                <pic:spPr>
                  <a:xfrm>
                    <a:off x="0" y="0"/>
                    <a:ext cx="5731510" cy="701044"/>
                  </a:xfrm>
                  <a:prstGeom prst="rect">
                    <a:avLst/>
                  </a:prstGeom>
                  <a:ln w="12700" cap="flat">
                    <a:noFill/>
                    <a:miter lim="400000"/>
                  </a:ln>
                  <a:effectLst/>
                </pic:spPr>
              </pic:pic>
            </a:graphicData>
          </a:graphic>
        </wp:inline>
      </w:drawing>
    </w:r>
  </w:p>
  <w:p w14:paraId="1B9A1881" w14:textId="0DBABDCD" w:rsidR="00092F1D" w:rsidRDefault="00092F1D">
    <w:pPr>
      <w:pStyle w:val="Header"/>
    </w:pPr>
    <w:r>
      <w:rPr>
        <w:noProof/>
        <w:lang w:val="et-EE"/>
      </w:rPr>
      <w:drawing>
        <wp:inline distT="0" distB="0" distL="0" distR="0" wp14:anchorId="501019F8" wp14:editId="05B76793">
          <wp:extent cx="5731510" cy="208419"/>
          <wp:effectExtent l="0" t="0" r="2540" b="1270"/>
          <wp:docPr id="1073741826" name="officeArt object" descr="Päised_2_tallinn_konf"/>
          <wp:cNvGraphicFramePr/>
          <a:graphic xmlns:a="http://schemas.openxmlformats.org/drawingml/2006/main">
            <a:graphicData uri="http://schemas.openxmlformats.org/drawingml/2006/picture">
              <pic:pic xmlns:pic="http://schemas.openxmlformats.org/drawingml/2006/picture">
                <pic:nvPicPr>
                  <pic:cNvPr id="1073741826" name="Päised_2_tallinn_konf" descr="Päised_2_tallinn_konf"/>
                  <pic:cNvPicPr>
                    <a:picLocks noChangeAspect="1"/>
                  </pic:cNvPicPr>
                </pic:nvPicPr>
                <pic:blipFill>
                  <a:blip r:embed="rId2"/>
                  <a:stretch>
                    <a:fillRect/>
                  </a:stretch>
                </pic:blipFill>
                <pic:spPr>
                  <a:xfrm>
                    <a:off x="0" y="0"/>
                    <a:ext cx="5731510" cy="208419"/>
                  </a:xfrm>
                  <a:prstGeom prst="rect">
                    <a:avLst/>
                  </a:prstGeom>
                  <a:ln w="12700" cap="flat">
                    <a:noFill/>
                    <a:miter lim="400000"/>
                  </a:ln>
                  <a:effectLst/>
                </pic:spPr>
              </pic:pic>
            </a:graphicData>
          </a:graphic>
        </wp:inline>
      </w:drawing>
    </w:r>
  </w:p>
  <w:p w14:paraId="72C38234" w14:textId="77777777" w:rsidR="00092F1D" w:rsidRDefault="00092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95432"/>
    <w:multiLevelType w:val="multilevel"/>
    <w:tmpl w:val="149E63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6C65D2"/>
    <w:multiLevelType w:val="multilevel"/>
    <w:tmpl w:val="FDDECDE8"/>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3A7253FE"/>
    <w:multiLevelType w:val="multilevel"/>
    <w:tmpl w:val="2660781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DC525C"/>
    <w:multiLevelType w:val="hybridMultilevel"/>
    <w:tmpl w:val="30349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C453D"/>
    <w:multiLevelType w:val="multilevel"/>
    <w:tmpl w:val="662E559E"/>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1660041773">
    <w:abstractNumId w:val="2"/>
  </w:num>
  <w:num w:numId="2" w16cid:durableId="212347293">
    <w:abstractNumId w:val="3"/>
  </w:num>
  <w:num w:numId="3" w16cid:durableId="629701533">
    <w:abstractNumId w:val="0"/>
  </w:num>
  <w:num w:numId="4" w16cid:durableId="1285888713">
    <w:abstractNumId w:val="4"/>
  </w:num>
  <w:num w:numId="5" w16cid:durableId="1062944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88"/>
    <w:rsid w:val="000040C0"/>
    <w:rsid w:val="000155D2"/>
    <w:rsid w:val="00021E99"/>
    <w:rsid w:val="00027C01"/>
    <w:rsid w:val="000368F4"/>
    <w:rsid w:val="00042AF1"/>
    <w:rsid w:val="00054F21"/>
    <w:rsid w:val="0007754F"/>
    <w:rsid w:val="000830EE"/>
    <w:rsid w:val="00092F1D"/>
    <w:rsid w:val="000937B3"/>
    <w:rsid w:val="000A1CE7"/>
    <w:rsid w:val="000A2117"/>
    <w:rsid w:val="000A2B5A"/>
    <w:rsid w:val="000B12A6"/>
    <w:rsid w:val="000B5FD9"/>
    <w:rsid w:val="000C6C59"/>
    <w:rsid w:val="000C742B"/>
    <w:rsid w:val="000C78E7"/>
    <w:rsid w:val="000D2306"/>
    <w:rsid w:val="000D3485"/>
    <w:rsid w:val="000D50BE"/>
    <w:rsid w:val="000E7D09"/>
    <w:rsid w:val="000F170A"/>
    <w:rsid w:val="0011428C"/>
    <w:rsid w:val="00115644"/>
    <w:rsid w:val="00115DBC"/>
    <w:rsid w:val="001246FB"/>
    <w:rsid w:val="00127C2C"/>
    <w:rsid w:val="00135985"/>
    <w:rsid w:val="001374D2"/>
    <w:rsid w:val="001452C0"/>
    <w:rsid w:val="001664E5"/>
    <w:rsid w:val="00166FDE"/>
    <w:rsid w:val="00171D7A"/>
    <w:rsid w:val="001743C8"/>
    <w:rsid w:val="001826D5"/>
    <w:rsid w:val="001854A0"/>
    <w:rsid w:val="00197ECA"/>
    <w:rsid w:val="001A2329"/>
    <w:rsid w:val="001A7725"/>
    <w:rsid w:val="001B5883"/>
    <w:rsid w:val="001B794B"/>
    <w:rsid w:val="001C1642"/>
    <w:rsid w:val="001E7F3C"/>
    <w:rsid w:val="001F2A23"/>
    <w:rsid w:val="00225ECB"/>
    <w:rsid w:val="00232A5C"/>
    <w:rsid w:val="002344D1"/>
    <w:rsid w:val="00242168"/>
    <w:rsid w:val="0025052D"/>
    <w:rsid w:val="00253F42"/>
    <w:rsid w:val="002563CF"/>
    <w:rsid w:val="00257227"/>
    <w:rsid w:val="0026230E"/>
    <w:rsid w:val="002623FE"/>
    <w:rsid w:val="00266F01"/>
    <w:rsid w:val="00273887"/>
    <w:rsid w:val="00275697"/>
    <w:rsid w:val="00283E20"/>
    <w:rsid w:val="0028628A"/>
    <w:rsid w:val="00294DFD"/>
    <w:rsid w:val="002C0E59"/>
    <w:rsid w:val="002C584A"/>
    <w:rsid w:val="002D25AE"/>
    <w:rsid w:val="002F73CE"/>
    <w:rsid w:val="002F7BA3"/>
    <w:rsid w:val="003200E6"/>
    <w:rsid w:val="003202E5"/>
    <w:rsid w:val="003207E5"/>
    <w:rsid w:val="00321337"/>
    <w:rsid w:val="00322780"/>
    <w:rsid w:val="00324869"/>
    <w:rsid w:val="00327844"/>
    <w:rsid w:val="00333419"/>
    <w:rsid w:val="0033477C"/>
    <w:rsid w:val="00335124"/>
    <w:rsid w:val="003364D3"/>
    <w:rsid w:val="0034060C"/>
    <w:rsid w:val="003500F1"/>
    <w:rsid w:val="003570AE"/>
    <w:rsid w:val="00362BED"/>
    <w:rsid w:val="0036660B"/>
    <w:rsid w:val="003735AA"/>
    <w:rsid w:val="00393B88"/>
    <w:rsid w:val="00394A04"/>
    <w:rsid w:val="003A070F"/>
    <w:rsid w:val="003B487A"/>
    <w:rsid w:val="003B5371"/>
    <w:rsid w:val="003B5C3C"/>
    <w:rsid w:val="003C5497"/>
    <w:rsid w:val="003C7651"/>
    <w:rsid w:val="003D131F"/>
    <w:rsid w:val="003F7F7A"/>
    <w:rsid w:val="00404B09"/>
    <w:rsid w:val="00411051"/>
    <w:rsid w:val="00417962"/>
    <w:rsid w:val="0042115C"/>
    <w:rsid w:val="00425167"/>
    <w:rsid w:val="00426A31"/>
    <w:rsid w:val="004369B2"/>
    <w:rsid w:val="00446056"/>
    <w:rsid w:val="00451502"/>
    <w:rsid w:val="004570F3"/>
    <w:rsid w:val="00457B8A"/>
    <w:rsid w:val="00460BBA"/>
    <w:rsid w:val="00460CC2"/>
    <w:rsid w:val="00472FE9"/>
    <w:rsid w:val="00474D21"/>
    <w:rsid w:val="00482FF7"/>
    <w:rsid w:val="00491B28"/>
    <w:rsid w:val="00492619"/>
    <w:rsid w:val="00493527"/>
    <w:rsid w:val="004940B1"/>
    <w:rsid w:val="00496C4F"/>
    <w:rsid w:val="004A6B2A"/>
    <w:rsid w:val="004A7756"/>
    <w:rsid w:val="004B14F2"/>
    <w:rsid w:val="004F0FC7"/>
    <w:rsid w:val="004F1096"/>
    <w:rsid w:val="004F24A8"/>
    <w:rsid w:val="005042B1"/>
    <w:rsid w:val="00510059"/>
    <w:rsid w:val="005110CC"/>
    <w:rsid w:val="0052453E"/>
    <w:rsid w:val="00534CCC"/>
    <w:rsid w:val="00545B74"/>
    <w:rsid w:val="005531F3"/>
    <w:rsid w:val="005532BA"/>
    <w:rsid w:val="00557610"/>
    <w:rsid w:val="00560463"/>
    <w:rsid w:val="00562B84"/>
    <w:rsid w:val="005637A3"/>
    <w:rsid w:val="00563D82"/>
    <w:rsid w:val="00564E85"/>
    <w:rsid w:val="0056690C"/>
    <w:rsid w:val="00567B03"/>
    <w:rsid w:val="00590380"/>
    <w:rsid w:val="00594F12"/>
    <w:rsid w:val="005A1634"/>
    <w:rsid w:val="005B11F8"/>
    <w:rsid w:val="005B3721"/>
    <w:rsid w:val="005B679F"/>
    <w:rsid w:val="005B72E3"/>
    <w:rsid w:val="005C10AD"/>
    <w:rsid w:val="005E6A97"/>
    <w:rsid w:val="005F4E78"/>
    <w:rsid w:val="005F6B1E"/>
    <w:rsid w:val="006017FB"/>
    <w:rsid w:val="0060586E"/>
    <w:rsid w:val="00606139"/>
    <w:rsid w:val="00614C52"/>
    <w:rsid w:val="006241FA"/>
    <w:rsid w:val="00633A11"/>
    <w:rsid w:val="00640E0A"/>
    <w:rsid w:val="00654A56"/>
    <w:rsid w:val="006636D0"/>
    <w:rsid w:val="006738A5"/>
    <w:rsid w:val="00680CED"/>
    <w:rsid w:val="00693F25"/>
    <w:rsid w:val="006A37CF"/>
    <w:rsid w:val="006B6E75"/>
    <w:rsid w:val="006C5958"/>
    <w:rsid w:val="006C7775"/>
    <w:rsid w:val="006D31A0"/>
    <w:rsid w:val="006E69A1"/>
    <w:rsid w:val="006F18E4"/>
    <w:rsid w:val="006F1E89"/>
    <w:rsid w:val="0071627E"/>
    <w:rsid w:val="00720713"/>
    <w:rsid w:val="0072471A"/>
    <w:rsid w:val="007308FB"/>
    <w:rsid w:val="00735288"/>
    <w:rsid w:val="0073709A"/>
    <w:rsid w:val="007445DC"/>
    <w:rsid w:val="007456EF"/>
    <w:rsid w:val="00756146"/>
    <w:rsid w:val="00762C3D"/>
    <w:rsid w:val="0076487E"/>
    <w:rsid w:val="00785B15"/>
    <w:rsid w:val="007969E6"/>
    <w:rsid w:val="007B69F6"/>
    <w:rsid w:val="007C44F3"/>
    <w:rsid w:val="007C5736"/>
    <w:rsid w:val="007D1BD6"/>
    <w:rsid w:val="007D258F"/>
    <w:rsid w:val="007E0410"/>
    <w:rsid w:val="007E471E"/>
    <w:rsid w:val="00806B55"/>
    <w:rsid w:val="00810ECA"/>
    <w:rsid w:val="0082304C"/>
    <w:rsid w:val="00823ED8"/>
    <w:rsid w:val="0082531C"/>
    <w:rsid w:val="00833E55"/>
    <w:rsid w:val="008350F8"/>
    <w:rsid w:val="0084530C"/>
    <w:rsid w:val="008479CD"/>
    <w:rsid w:val="008630A9"/>
    <w:rsid w:val="00864A8C"/>
    <w:rsid w:val="008653CE"/>
    <w:rsid w:val="00865FA9"/>
    <w:rsid w:val="008730E6"/>
    <w:rsid w:val="00875B6D"/>
    <w:rsid w:val="008A0279"/>
    <w:rsid w:val="008A16FB"/>
    <w:rsid w:val="008B157A"/>
    <w:rsid w:val="008B50FF"/>
    <w:rsid w:val="008B6975"/>
    <w:rsid w:val="008C1C4D"/>
    <w:rsid w:val="008C5D7E"/>
    <w:rsid w:val="008D16A5"/>
    <w:rsid w:val="008D537B"/>
    <w:rsid w:val="008D73A9"/>
    <w:rsid w:val="008E3CD5"/>
    <w:rsid w:val="008E67A9"/>
    <w:rsid w:val="008F0798"/>
    <w:rsid w:val="008F07C1"/>
    <w:rsid w:val="008F19A3"/>
    <w:rsid w:val="008F314C"/>
    <w:rsid w:val="00900C74"/>
    <w:rsid w:val="00901D8C"/>
    <w:rsid w:val="00906383"/>
    <w:rsid w:val="00907991"/>
    <w:rsid w:val="00907D38"/>
    <w:rsid w:val="009103F7"/>
    <w:rsid w:val="0092482D"/>
    <w:rsid w:val="00925D50"/>
    <w:rsid w:val="00931A5C"/>
    <w:rsid w:val="00933D21"/>
    <w:rsid w:val="00942EF5"/>
    <w:rsid w:val="009531B4"/>
    <w:rsid w:val="009564D3"/>
    <w:rsid w:val="00956DD8"/>
    <w:rsid w:val="009627F1"/>
    <w:rsid w:val="009638D7"/>
    <w:rsid w:val="00970B5D"/>
    <w:rsid w:val="009741DD"/>
    <w:rsid w:val="00974695"/>
    <w:rsid w:val="00984ED0"/>
    <w:rsid w:val="00991AC0"/>
    <w:rsid w:val="00991BB1"/>
    <w:rsid w:val="00996568"/>
    <w:rsid w:val="009C061B"/>
    <w:rsid w:val="009E0746"/>
    <w:rsid w:val="009E2A4F"/>
    <w:rsid w:val="009F71F8"/>
    <w:rsid w:val="00A07C63"/>
    <w:rsid w:val="00A10D6E"/>
    <w:rsid w:val="00A157B6"/>
    <w:rsid w:val="00A23E7C"/>
    <w:rsid w:val="00A34483"/>
    <w:rsid w:val="00A34E16"/>
    <w:rsid w:val="00A37E2B"/>
    <w:rsid w:val="00A4609E"/>
    <w:rsid w:val="00A51374"/>
    <w:rsid w:val="00A600CA"/>
    <w:rsid w:val="00A63655"/>
    <w:rsid w:val="00A6423C"/>
    <w:rsid w:val="00A82E04"/>
    <w:rsid w:val="00A97B58"/>
    <w:rsid w:val="00AA30E4"/>
    <w:rsid w:val="00AA543C"/>
    <w:rsid w:val="00AC3603"/>
    <w:rsid w:val="00AD1B9F"/>
    <w:rsid w:val="00AE7548"/>
    <w:rsid w:val="00AF213E"/>
    <w:rsid w:val="00AF5A2F"/>
    <w:rsid w:val="00B61475"/>
    <w:rsid w:val="00B64D0A"/>
    <w:rsid w:val="00B74D14"/>
    <w:rsid w:val="00B904B6"/>
    <w:rsid w:val="00BA08D6"/>
    <w:rsid w:val="00BA21BA"/>
    <w:rsid w:val="00BB2298"/>
    <w:rsid w:val="00BD6164"/>
    <w:rsid w:val="00BE0EC1"/>
    <w:rsid w:val="00BE63E9"/>
    <w:rsid w:val="00BF00E3"/>
    <w:rsid w:val="00BF79C1"/>
    <w:rsid w:val="00C02F8C"/>
    <w:rsid w:val="00C11238"/>
    <w:rsid w:val="00C127C4"/>
    <w:rsid w:val="00C21CAA"/>
    <w:rsid w:val="00C21D83"/>
    <w:rsid w:val="00C244B2"/>
    <w:rsid w:val="00C32789"/>
    <w:rsid w:val="00C51168"/>
    <w:rsid w:val="00C5537A"/>
    <w:rsid w:val="00C60190"/>
    <w:rsid w:val="00C66DC8"/>
    <w:rsid w:val="00C76D26"/>
    <w:rsid w:val="00C77D1E"/>
    <w:rsid w:val="00C96223"/>
    <w:rsid w:val="00CA4410"/>
    <w:rsid w:val="00CB3DD7"/>
    <w:rsid w:val="00CB425F"/>
    <w:rsid w:val="00CC0E1D"/>
    <w:rsid w:val="00CD243E"/>
    <w:rsid w:val="00CD5E5A"/>
    <w:rsid w:val="00CD5F33"/>
    <w:rsid w:val="00CE0D8C"/>
    <w:rsid w:val="00CE18B5"/>
    <w:rsid w:val="00CE1B37"/>
    <w:rsid w:val="00CF04CD"/>
    <w:rsid w:val="00CF1A01"/>
    <w:rsid w:val="00CF55FB"/>
    <w:rsid w:val="00D035C6"/>
    <w:rsid w:val="00D0433A"/>
    <w:rsid w:val="00D14718"/>
    <w:rsid w:val="00D15184"/>
    <w:rsid w:val="00D1767E"/>
    <w:rsid w:val="00D243F6"/>
    <w:rsid w:val="00D24AF0"/>
    <w:rsid w:val="00D36EF5"/>
    <w:rsid w:val="00D43782"/>
    <w:rsid w:val="00D44388"/>
    <w:rsid w:val="00D536AB"/>
    <w:rsid w:val="00D637C4"/>
    <w:rsid w:val="00D70115"/>
    <w:rsid w:val="00D8132A"/>
    <w:rsid w:val="00D85E24"/>
    <w:rsid w:val="00D87A14"/>
    <w:rsid w:val="00D91752"/>
    <w:rsid w:val="00D972EE"/>
    <w:rsid w:val="00DA0A2B"/>
    <w:rsid w:val="00DA4AA8"/>
    <w:rsid w:val="00DA5407"/>
    <w:rsid w:val="00DB6621"/>
    <w:rsid w:val="00DC029E"/>
    <w:rsid w:val="00DC2A84"/>
    <w:rsid w:val="00DC5C95"/>
    <w:rsid w:val="00DD24F0"/>
    <w:rsid w:val="00DE3457"/>
    <w:rsid w:val="00DE4368"/>
    <w:rsid w:val="00DF459F"/>
    <w:rsid w:val="00E02964"/>
    <w:rsid w:val="00E172AF"/>
    <w:rsid w:val="00E373F1"/>
    <w:rsid w:val="00E42B6E"/>
    <w:rsid w:val="00E5137C"/>
    <w:rsid w:val="00E57664"/>
    <w:rsid w:val="00E7063A"/>
    <w:rsid w:val="00E77AA9"/>
    <w:rsid w:val="00E863AA"/>
    <w:rsid w:val="00E93E67"/>
    <w:rsid w:val="00E93F1F"/>
    <w:rsid w:val="00EA1555"/>
    <w:rsid w:val="00EA3B38"/>
    <w:rsid w:val="00EA531D"/>
    <w:rsid w:val="00EB599E"/>
    <w:rsid w:val="00EC1464"/>
    <w:rsid w:val="00EC3C26"/>
    <w:rsid w:val="00EC4629"/>
    <w:rsid w:val="00ED0C6F"/>
    <w:rsid w:val="00EE3079"/>
    <w:rsid w:val="00EE7173"/>
    <w:rsid w:val="00EF4421"/>
    <w:rsid w:val="00EF585E"/>
    <w:rsid w:val="00F01E6D"/>
    <w:rsid w:val="00F26740"/>
    <w:rsid w:val="00F34F4E"/>
    <w:rsid w:val="00F367E7"/>
    <w:rsid w:val="00F41F1C"/>
    <w:rsid w:val="00F42130"/>
    <w:rsid w:val="00F4324C"/>
    <w:rsid w:val="00F44E7B"/>
    <w:rsid w:val="00F514D4"/>
    <w:rsid w:val="00F57CFD"/>
    <w:rsid w:val="00F60E39"/>
    <w:rsid w:val="00F77862"/>
    <w:rsid w:val="00F858CC"/>
    <w:rsid w:val="00FA28CC"/>
    <w:rsid w:val="00FA4860"/>
    <w:rsid w:val="00FA51C6"/>
    <w:rsid w:val="00FA51F0"/>
    <w:rsid w:val="00FB257D"/>
    <w:rsid w:val="00FC3058"/>
    <w:rsid w:val="00FC78AA"/>
    <w:rsid w:val="00FD3777"/>
    <w:rsid w:val="00FD506D"/>
    <w:rsid w:val="00FD723F"/>
    <w:rsid w:val="00FE08A3"/>
    <w:rsid w:val="05B163DE"/>
    <w:rsid w:val="0659DA10"/>
    <w:rsid w:val="0C627428"/>
    <w:rsid w:val="16AFB260"/>
    <w:rsid w:val="184E0565"/>
    <w:rsid w:val="1989A6E9"/>
    <w:rsid w:val="198E0A5F"/>
    <w:rsid w:val="1C4AF9EB"/>
    <w:rsid w:val="1CD3D308"/>
    <w:rsid w:val="1DDD4726"/>
    <w:rsid w:val="1F0E86C6"/>
    <w:rsid w:val="1FD07D77"/>
    <w:rsid w:val="22AEB0D5"/>
    <w:rsid w:val="23FD29AD"/>
    <w:rsid w:val="267DBD24"/>
    <w:rsid w:val="273DB25D"/>
    <w:rsid w:val="2825F86D"/>
    <w:rsid w:val="288813D0"/>
    <w:rsid w:val="2A601411"/>
    <w:rsid w:val="2AE22CB2"/>
    <w:rsid w:val="2C96449B"/>
    <w:rsid w:val="2FB4BD00"/>
    <w:rsid w:val="32D32D15"/>
    <w:rsid w:val="32E82906"/>
    <w:rsid w:val="33D99BFF"/>
    <w:rsid w:val="349B43DC"/>
    <w:rsid w:val="354EA341"/>
    <w:rsid w:val="358F3BB4"/>
    <w:rsid w:val="3606310D"/>
    <w:rsid w:val="388D3CE5"/>
    <w:rsid w:val="3BEB6222"/>
    <w:rsid w:val="3F22D35C"/>
    <w:rsid w:val="3FBFD469"/>
    <w:rsid w:val="4000E479"/>
    <w:rsid w:val="43F6447F"/>
    <w:rsid w:val="46CC9E38"/>
    <w:rsid w:val="46DD2B07"/>
    <w:rsid w:val="479C59B1"/>
    <w:rsid w:val="49B4906C"/>
    <w:rsid w:val="4BBF4DF6"/>
    <w:rsid w:val="4C9F9ADD"/>
    <w:rsid w:val="4CFD3379"/>
    <w:rsid w:val="4D2908CC"/>
    <w:rsid w:val="4D74788A"/>
    <w:rsid w:val="4DCB3C4E"/>
    <w:rsid w:val="4ED6EC98"/>
    <w:rsid w:val="4EE3DE25"/>
    <w:rsid w:val="4EE8EFA9"/>
    <w:rsid w:val="4FE05680"/>
    <w:rsid w:val="51AD3AA6"/>
    <w:rsid w:val="5223AD7F"/>
    <w:rsid w:val="541CEB9A"/>
    <w:rsid w:val="59BA7402"/>
    <w:rsid w:val="5B41BDC8"/>
    <w:rsid w:val="5B564463"/>
    <w:rsid w:val="5C60FE49"/>
    <w:rsid w:val="5FC6814F"/>
    <w:rsid w:val="63E6A1C9"/>
    <w:rsid w:val="642A3FF1"/>
    <w:rsid w:val="65202D64"/>
    <w:rsid w:val="66C03962"/>
    <w:rsid w:val="677C4A79"/>
    <w:rsid w:val="6A0306D3"/>
    <w:rsid w:val="6A48C6BF"/>
    <w:rsid w:val="6C69E8E7"/>
    <w:rsid w:val="6D08984A"/>
    <w:rsid w:val="6E4AA0CB"/>
    <w:rsid w:val="70553B3A"/>
    <w:rsid w:val="72E266AA"/>
    <w:rsid w:val="73B56428"/>
    <w:rsid w:val="79391592"/>
    <w:rsid w:val="7996FB56"/>
    <w:rsid w:val="7B70AF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7DCE"/>
  <w15:chartTrackingRefBased/>
  <w15:docId w15:val="{7379BB79-7D6F-4256-B798-B1923F26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04"/>
    <w:pPr>
      <w:ind w:left="720"/>
      <w:contextualSpacing/>
    </w:pPr>
  </w:style>
  <w:style w:type="character" w:styleId="Hyperlink">
    <w:name w:val="Hyperlink"/>
    <w:basedOn w:val="DefaultParagraphFont"/>
    <w:uiPriority w:val="99"/>
    <w:unhideWhenUsed/>
    <w:rsid w:val="00806B55"/>
    <w:rPr>
      <w:color w:val="0563C1" w:themeColor="hyperlink"/>
      <w:u w:val="single"/>
    </w:rPr>
  </w:style>
  <w:style w:type="character" w:styleId="UnresolvedMention">
    <w:name w:val="Unresolved Mention"/>
    <w:basedOn w:val="DefaultParagraphFont"/>
    <w:uiPriority w:val="99"/>
    <w:semiHidden/>
    <w:unhideWhenUsed/>
    <w:rsid w:val="00806B55"/>
    <w:rPr>
      <w:color w:val="605E5C"/>
      <w:shd w:val="clear" w:color="auto" w:fill="E1DFDD"/>
    </w:rPr>
  </w:style>
  <w:style w:type="paragraph" w:styleId="FootnoteText">
    <w:name w:val="footnote text"/>
    <w:basedOn w:val="Normal"/>
    <w:link w:val="FootnoteTextChar"/>
    <w:uiPriority w:val="99"/>
    <w:semiHidden/>
    <w:unhideWhenUsed/>
    <w:rsid w:val="009741DD"/>
    <w:rPr>
      <w:sz w:val="20"/>
      <w:szCs w:val="20"/>
    </w:rPr>
  </w:style>
  <w:style w:type="character" w:customStyle="1" w:styleId="FootnoteTextChar">
    <w:name w:val="Footnote Text Char"/>
    <w:basedOn w:val="DefaultParagraphFont"/>
    <w:link w:val="FootnoteText"/>
    <w:uiPriority w:val="99"/>
    <w:semiHidden/>
    <w:rsid w:val="009741DD"/>
    <w:rPr>
      <w:sz w:val="20"/>
      <w:szCs w:val="20"/>
    </w:rPr>
  </w:style>
  <w:style w:type="character" w:styleId="FootnoteReference">
    <w:name w:val="footnote reference"/>
    <w:basedOn w:val="DefaultParagraphFont"/>
    <w:uiPriority w:val="99"/>
    <w:semiHidden/>
    <w:unhideWhenUsed/>
    <w:rsid w:val="009741DD"/>
    <w:rPr>
      <w:vertAlign w:val="superscript"/>
    </w:rPr>
  </w:style>
  <w:style w:type="paragraph" w:styleId="Header">
    <w:name w:val="header"/>
    <w:basedOn w:val="Normal"/>
    <w:link w:val="HeaderChar"/>
    <w:uiPriority w:val="99"/>
    <w:unhideWhenUsed/>
    <w:rsid w:val="00BE0EC1"/>
    <w:pPr>
      <w:tabs>
        <w:tab w:val="center" w:pos="4680"/>
        <w:tab w:val="right" w:pos="9360"/>
      </w:tabs>
    </w:pPr>
  </w:style>
  <w:style w:type="character" w:customStyle="1" w:styleId="HeaderChar">
    <w:name w:val="Header Char"/>
    <w:basedOn w:val="DefaultParagraphFont"/>
    <w:link w:val="Header"/>
    <w:uiPriority w:val="99"/>
    <w:rsid w:val="00BE0EC1"/>
  </w:style>
  <w:style w:type="paragraph" w:styleId="Footer">
    <w:name w:val="footer"/>
    <w:basedOn w:val="Normal"/>
    <w:link w:val="FooterChar"/>
    <w:uiPriority w:val="99"/>
    <w:unhideWhenUsed/>
    <w:rsid w:val="00BE0EC1"/>
    <w:pPr>
      <w:tabs>
        <w:tab w:val="center" w:pos="4680"/>
        <w:tab w:val="right" w:pos="9360"/>
      </w:tabs>
    </w:pPr>
  </w:style>
  <w:style w:type="character" w:customStyle="1" w:styleId="FooterChar">
    <w:name w:val="Footer Char"/>
    <w:basedOn w:val="DefaultParagraphFont"/>
    <w:link w:val="Footer"/>
    <w:uiPriority w:val="99"/>
    <w:rsid w:val="00BE0EC1"/>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unhideWhenUsed/>
    <w:rsid w:val="00F34F4E"/>
    <w:rPr>
      <w:sz w:val="20"/>
      <w:szCs w:val="20"/>
    </w:rPr>
  </w:style>
  <w:style w:type="character" w:customStyle="1" w:styleId="CommentTextChar">
    <w:name w:val="Comment Text Char"/>
    <w:basedOn w:val="DefaultParagraphFont"/>
    <w:link w:val="CommentText"/>
    <w:uiPriority w:val="99"/>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rPr>
  </w:style>
  <w:style w:type="character" w:customStyle="1" w:styleId="CommentSubjectChar">
    <w:name w:val="Comment Subject Char"/>
    <w:basedOn w:val="CommentTextChar"/>
    <w:link w:val="CommentSubject"/>
    <w:uiPriority w:val="99"/>
    <w:semiHidden/>
    <w:rsid w:val="00F34F4E"/>
    <w:rPr>
      <w:b/>
      <w:sz w:val="20"/>
      <w:szCs w:val="20"/>
    </w:rPr>
  </w:style>
  <w:style w:type="paragraph" w:styleId="Revision">
    <w:name w:val="Revision"/>
    <w:hidden/>
    <w:uiPriority w:val="99"/>
    <w:semiHidden/>
    <w:rsid w:val="00907991"/>
  </w:style>
  <w:style w:type="table" w:styleId="TableGrid">
    <w:name w:val="Table Grid"/>
    <w:basedOn w:val="TableNormal"/>
    <w:uiPriority w:val="39"/>
    <w:rsid w:val="003C7651"/>
    <w:rPr>
      <w:rFonts w:ascii="Verdana" w:hAnsi="Verdana" w:cstheme="minorBidi"/>
      <w:bCs w:val="0"/>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368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10184">
      <w:bodyDiv w:val="1"/>
      <w:marLeft w:val="0"/>
      <w:marRight w:val="0"/>
      <w:marTop w:val="0"/>
      <w:marBottom w:val="0"/>
      <w:divBdr>
        <w:top w:val="none" w:sz="0" w:space="0" w:color="auto"/>
        <w:left w:val="none" w:sz="0" w:space="0" w:color="auto"/>
        <w:bottom w:val="none" w:sz="0" w:space="0" w:color="auto"/>
        <w:right w:val="none" w:sz="0" w:space="0" w:color="auto"/>
      </w:divBdr>
    </w:div>
    <w:div w:id="182022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D57F4-2093-46CB-AED6-0558D891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1488</Words>
  <Characters>8635</Characters>
  <Application>Microsoft Office Word</Application>
  <DocSecurity>0</DocSecurity>
  <Lines>71</Lines>
  <Paragraphs>20</Paragraphs>
  <ScaleCrop>false</ScaleCrop>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PHLAW</dc:creator>
  <cp:keywords/>
  <dc:description/>
  <cp:lastModifiedBy>Kristina Randveer</cp:lastModifiedBy>
  <cp:revision>3</cp:revision>
  <cp:lastPrinted>2023-02-03T12:02:00Z</cp:lastPrinted>
  <dcterms:created xsi:type="dcterms:W3CDTF">2023-05-02T13:19:00Z</dcterms:created>
  <dcterms:modified xsi:type="dcterms:W3CDTF">2023-05-02T13:20:00Z</dcterms:modified>
</cp:coreProperties>
</file>